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8B5FF" w14:textId="77777777" w:rsidR="00E83A70" w:rsidRPr="00E83A70" w:rsidRDefault="00E83A70" w:rsidP="00C22780">
      <w:pPr>
        <w:pStyle w:val="JRPMTitle"/>
        <w:spacing w:after="360"/>
        <w:jc w:val="left"/>
        <w:rPr>
          <w:rFonts w:ascii="Cambria" w:hAnsi="Cambria" w:cs="Tahoma"/>
          <w:color w:val="000000" w:themeColor="text1"/>
          <w:lang w:val="en-US"/>
        </w:rPr>
      </w:pPr>
    </w:p>
    <w:p w14:paraId="61F69F0D" w14:textId="68D02D6D" w:rsidR="008361F3" w:rsidRDefault="008361F3" w:rsidP="00967021">
      <w:pPr>
        <w:pStyle w:val="JRPMAuthor"/>
        <w:rPr>
          <w:rFonts w:ascii="Cambria" w:hAnsi="Cambria" w:cs="Tahoma"/>
          <w:color w:val="000000" w:themeColor="text1"/>
          <w:sz w:val="28"/>
          <w:szCs w:val="24"/>
          <w:lang w:val="en-US"/>
        </w:rPr>
      </w:pPr>
      <w:r w:rsidRPr="008361F3">
        <w:rPr>
          <w:rFonts w:ascii="Cambria" w:hAnsi="Cambria" w:cs="Tahoma"/>
          <w:color w:val="000000" w:themeColor="text1"/>
          <w:sz w:val="28"/>
          <w:szCs w:val="24"/>
          <w:lang w:val="en-US"/>
        </w:rPr>
        <w:t>Pengenalan Pajak Penghasilan Pasal 21 (PPh 21) sebagai Strategi Peningkatan Kesadar</w:t>
      </w:r>
      <w:r w:rsidR="00455341">
        <w:rPr>
          <w:rFonts w:ascii="Cambria" w:hAnsi="Cambria" w:cs="Tahoma"/>
          <w:color w:val="000000" w:themeColor="text1"/>
          <w:sz w:val="28"/>
          <w:szCs w:val="24"/>
          <w:lang w:val="en-US"/>
        </w:rPr>
        <w:t>an Pajak di Kalangan Pelajar</w:t>
      </w:r>
    </w:p>
    <w:p w14:paraId="66B73023" w14:textId="77777777" w:rsidR="00E8480A" w:rsidRDefault="00E8480A" w:rsidP="00967021">
      <w:pPr>
        <w:pStyle w:val="JRPMAuthor"/>
        <w:rPr>
          <w:rFonts w:ascii="Cambria" w:hAnsi="Cambria" w:cs="Tahoma"/>
          <w:color w:val="000000" w:themeColor="text1"/>
          <w:sz w:val="20"/>
          <w:lang w:val="en-US"/>
        </w:rPr>
      </w:pPr>
    </w:p>
    <w:p w14:paraId="4BCA1CD8" w14:textId="27043021" w:rsidR="006D111E" w:rsidRPr="00E83A70" w:rsidRDefault="008361F3" w:rsidP="00967021">
      <w:pPr>
        <w:pStyle w:val="JRPMAuthor"/>
        <w:rPr>
          <w:rFonts w:ascii="Cambria" w:hAnsi="Cambria" w:cs="Tahoma"/>
          <w:b w:val="0"/>
          <w:color w:val="000000" w:themeColor="text1"/>
          <w:sz w:val="20"/>
          <w:lang w:val="en-US"/>
        </w:rPr>
      </w:pPr>
      <w:r>
        <w:rPr>
          <w:rFonts w:ascii="Cambria" w:hAnsi="Cambria" w:cs="Tahoma"/>
          <w:color w:val="000000" w:themeColor="text1"/>
          <w:sz w:val="20"/>
          <w:lang w:val="en-US"/>
        </w:rPr>
        <w:t>Karmilah</w:t>
      </w:r>
      <w:r w:rsidR="001D409D" w:rsidRPr="00E83A70">
        <w:rPr>
          <w:rFonts w:ascii="Cambria" w:hAnsi="Cambria" w:cs="Tahoma"/>
          <w:color w:val="000000" w:themeColor="text1"/>
          <w:sz w:val="20"/>
          <w:vertAlign w:val="superscript"/>
          <w:lang w:val="en-US"/>
        </w:rPr>
        <w:t>*</w:t>
      </w:r>
      <w:r w:rsidR="00A01BED">
        <w:rPr>
          <w:rFonts w:ascii="Cambria" w:hAnsi="Cambria" w:cs="Tahoma"/>
          <w:color w:val="000000" w:themeColor="text1"/>
          <w:sz w:val="20"/>
          <w:vertAlign w:val="superscript"/>
          <w:lang w:val="en-US"/>
        </w:rPr>
        <w:t>1</w:t>
      </w:r>
      <w:r w:rsidR="006D111E" w:rsidRPr="00E83A70">
        <w:rPr>
          <w:rFonts w:ascii="Cambria" w:hAnsi="Cambria" w:cs="Tahoma"/>
          <w:color w:val="000000" w:themeColor="text1"/>
          <w:sz w:val="20"/>
        </w:rPr>
        <w:t xml:space="preserve">, </w:t>
      </w:r>
      <w:r>
        <w:rPr>
          <w:rFonts w:ascii="Cambria" w:hAnsi="Cambria" w:cs="Tahoma"/>
          <w:color w:val="000000" w:themeColor="text1"/>
          <w:sz w:val="20"/>
          <w:lang w:val="en-US"/>
        </w:rPr>
        <w:t>Sitti Fatimah</w:t>
      </w:r>
      <w:r w:rsidR="00F62298" w:rsidRPr="00E83A70">
        <w:rPr>
          <w:rFonts w:ascii="Cambria" w:hAnsi="Cambria" w:cs="Tahoma"/>
          <w:color w:val="000000" w:themeColor="text1"/>
          <w:sz w:val="20"/>
          <w:vertAlign w:val="superscript"/>
          <w:lang w:val="en-US"/>
        </w:rPr>
        <w:t>2</w:t>
      </w:r>
      <w:r w:rsidR="00680AE8" w:rsidRPr="00E83A70">
        <w:rPr>
          <w:rFonts w:ascii="Cambria" w:hAnsi="Cambria" w:cs="Tahoma"/>
          <w:color w:val="000000" w:themeColor="text1"/>
          <w:sz w:val="20"/>
          <w:lang w:val="en-US"/>
        </w:rPr>
        <w:t xml:space="preserve">, </w:t>
      </w:r>
      <w:r>
        <w:rPr>
          <w:rFonts w:ascii="Cambria" w:hAnsi="Cambria" w:cs="Tahoma"/>
          <w:color w:val="000000" w:themeColor="text1"/>
          <w:sz w:val="20"/>
          <w:lang w:val="en-US"/>
        </w:rPr>
        <w:t xml:space="preserve">Suci Dewi </w:t>
      </w:r>
      <w:proofErr w:type="gramStart"/>
      <w:r>
        <w:rPr>
          <w:rFonts w:ascii="Cambria" w:hAnsi="Cambria" w:cs="Tahoma"/>
          <w:color w:val="000000" w:themeColor="text1"/>
          <w:sz w:val="20"/>
          <w:lang w:val="en-US"/>
        </w:rPr>
        <w:t>Maharani</w:t>
      </w:r>
      <w:r w:rsidR="00F62298" w:rsidRPr="00E83A70">
        <w:rPr>
          <w:rFonts w:ascii="Cambria" w:hAnsi="Cambria" w:cs="Tahoma"/>
          <w:color w:val="000000" w:themeColor="text1"/>
          <w:sz w:val="20"/>
          <w:vertAlign w:val="superscript"/>
          <w:lang w:val="en-US"/>
        </w:rPr>
        <w:t>3</w:t>
      </w:r>
      <w:r w:rsidRPr="008361F3">
        <w:rPr>
          <w:rFonts w:ascii="Cambria" w:hAnsi="Cambria" w:cs="Tahoma"/>
          <w:color w:val="000000" w:themeColor="text1"/>
          <w:sz w:val="20"/>
          <w:lang w:val="en-US"/>
        </w:rPr>
        <w:t xml:space="preserve"> </w:t>
      </w:r>
      <w:r>
        <w:rPr>
          <w:rFonts w:ascii="Cambria" w:hAnsi="Cambria" w:cs="Tahoma"/>
          <w:color w:val="000000" w:themeColor="text1"/>
          <w:sz w:val="20"/>
          <w:lang w:val="en-US"/>
        </w:rPr>
        <w:t>,</w:t>
      </w:r>
      <w:proofErr w:type="gramEnd"/>
      <w:r>
        <w:rPr>
          <w:rFonts w:ascii="Cambria" w:hAnsi="Cambria" w:cs="Tahoma"/>
          <w:color w:val="000000" w:themeColor="text1"/>
          <w:sz w:val="20"/>
          <w:lang w:val="en-US"/>
        </w:rPr>
        <w:t xml:space="preserve"> </w:t>
      </w:r>
      <w:r w:rsidRPr="008361F3">
        <w:rPr>
          <w:rFonts w:ascii="Cambria" w:hAnsi="Cambria" w:cs="Tahoma"/>
          <w:color w:val="000000" w:themeColor="text1"/>
          <w:sz w:val="20"/>
          <w:lang w:val="en-US"/>
        </w:rPr>
        <w:t>Muh Fadlyazim</w:t>
      </w:r>
      <w:r w:rsidRPr="008361F3">
        <w:rPr>
          <w:rFonts w:ascii="Cambria" w:hAnsi="Cambria" w:cs="Tahoma"/>
          <w:color w:val="000000" w:themeColor="text1"/>
          <w:sz w:val="20"/>
          <w:vertAlign w:val="superscript"/>
          <w:lang w:val="en-US"/>
        </w:rPr>
        <w:t>4</w:t>
      </w:r>
    </w:p>
    <w:p w14:paraId="23C161C3" w14:textId="7D6995B7" w:rsidR="006D111E" w:rsidRPr="00E83A70" w:rsidRDefault="006D111E" w:rsidP="00967021">
      <w:pPr>
        <w:pStyle w:val="JRPMAuthor-Afiliation"/>
        <w:rPr>
          <w:rFonts w:ascii="Cambria" w:hAnsi="Cambria" w:cs="Tahoma"/>
          <w:color w:val="000000" w:themeColor="text1"/>
          <w:sz w:val="20"/>
          <w:lang w:val="en-US"/>
        </w:rPr>
      </w:pPr>
      <w:r w:rsidRPr="00E83A70">
        <w:rPr>
          <w:rFonts w:ascii="Cambria" w:hAnsi="Cambria" w:cs="Tahoma"/>
          <w:color w:val="000000" w:themeColor="text1"/>
          <w:sz w:val="20"/>
          <w:vertAlign w:val="superscript"/>
        </w:rPr>
        <w:t>1</w:t>
      </w:r>
      <w:r w:rsidR="00A01BED">
        <w:rPr>
          <w:rFonts w:ascii="Cambria" w:hAnsi="Cambria" w:cs="Tahoma"/>
          <w:color w:val="000000" w:themeColor="text1"/>
          <w:sz w:val="20"/>
          <w:lang w:val="en-US"/>
        </w:rPr>
        <w:t>-</w:t>
      </w:r>
      <w:r w:rsidR="008361F3" w:rsidRPr="008361F3">
        <w:rPr>
          <w:rFonts w:ascii="Cambria" w:hAnsi="Cambria" w:cs="Tahoma"/>
          <w:color w:val="000000" w:themeColor="text1"/>
          <w:sz w:val="20"/>
          <w:vertAlign w:val="superscript"/>
          <w:lang w:val="en-US"/>
        </w:rPr>
        <w:t>4</w:t>
      </w:r>
      <w:r w:rsidR="008361F3">
        <w:rPr>
          <w:rFonts w:ascii="Cambria" w:hAnsi="Cambria" w:cs="Tahoma"/>
          <w:color w:val="000000" w:themeColor="text1"/>
          <w:sz w:val="20"/>
          <w:lang w:val="en-US"/>
        </w:rPr>
        <w:t>Universitas Islam Makassar</w:t>
      </w:r>
      <w:r w:rsidR="001D409D" w:rsidRPr="00E83A70">
        <w:rPr>
          <w:rFonts w:ascii="Cambria" w:hAnsi="Cambria" w:cs="Tahoma"/>
          <w:color w:val="000000" w:themeColor="text1"/>
          <w:sz w:val="20"/>
          <w:lang w:val="en-US"/>
        </w:rPr>
        <w:t>,</w:t>
      </w:r>
      <w:r w:rsidR="008361F3">
        <w:rPr>
          <w:rFonts w:ascii="Cambria" w:hAnsi="Cambria" w:cs="Tahoma"/>
          <w:color w:val="000000" w:themeColor="text1"/>
          <w:sz w:val="20"/>
          <w:lang w:val="en-US"/>
        </w:rPr>
        <w:t xml:space="preserve"> Makassar</w:t>
      </w:r>
      <w:r w:rsidR="001D409D" w:rsidRPr="00E83A70">
        <w:rPr>
          <w:rFonts w:ascii="Cambria" w:hAnsi="Cambria" w:cs="Tahoma"/>
          <w:color w:val="000000" w:themeColor="text1"/>
          <w:sz w:val="20"/>
          <w:lang w:val="en-US"/>
        </w:rPr>
        <w:t xml:space="preserve">, </w:t>
      </w:r>
      <w:r w:rsidR="008361F3">
        <w:rPr>
          <w:rFonts w:ascii="Cambria" w:hAnsi="Cambria" w:cs="Tahoma"/>
          <w:color w:val="000000" w:themeColor="text1"/>
          <w:sz w:val="20"/>
          <w:lang w:val="en-US"/>
        </w:rPr>
        <w:t>Indonesia</w:t>
      </w:r>
    </w:p>
    <w:p w14:paraId="104C4241" w14:textId="5637912A" w:rsidR="006D111E" w:rsidRDefault="00A01BED" w:rsidP="00967021">
      <w:pPr>
        <w:pStyle w:val="JRPMAuthor-Afiliation"/>
        <w:rPr>
          <w:rFonts w:ascii="Cambria" w:hAnsi="Cambria" w:cs="Tahoma"/>
          <w:color w:val="000000" w:themeColor="text1"/>
          <w:sz w:val="20"/>
          <w:lang w:val="en-US"/>
        </w:rPr>
      </w:pPr>
      <w:r>
        <w:rPr>
          <w:rFonts w:ascii="Cambria" w:hAnsi="Cambria" w:cs="Tahoma"/>
          <w:color w:val="000000" w:themeColor="text1"/>
          <w:sz w:val="20"/>
          <w:lang w:val="en-US"/>
        </w:rPr>
        <w:t>*</w:t>
      </w:r>
      <w:hyperlink r:id="rId8" w:history="1">
        <w:r w:rsidR="00E06530" w:rsidRPr="008C3BE8">
          <w:rPr>
            <w:rStyle w:val="Hyperlink"/>
            <w:rFonts w:ascii="Cambria" w:hAnsi="Cambria" w:cs="Tahoma"/>
            <w:sz w:val="20"/>
            <w:lang w:val="en-US"/>
          </w:rPr>
          <w:t>karmilah.dty@uim-makassar.ac.id</w:t>
        </w:r>
      </w:hyperlink>
    </w:p>
    <w:p w14:paraId="589661CC" w14:textId="77777777" w:rsidR="006D111E" w:rsidRPr="00E83A70" w:rsidRDefault="006D111E" w:rsidP="006D111E">
      <w:pPr>
        <w:rPr>
          <w:rFonts w:ascii="Cambria" w:hAnsi="Cambria" w:cs="Tahoma"/>
          <w:color w:val="000000" w:themeColor="text1"/>
        </w:rPr>
      </w:pPr>
    </w:p>
    <w:p w14:paraId="1C32B311" w14:textId="77777777" w:rsidR="00C22780" w:rsidRPr="00E83A70" w:rsidRDefault="00C22780" w:rsidP="006D111E">
      <w:pPr>
        <w:rPr>
          <w:rFonts w:ascii="Cambria" w:hAnsi="Cambria" w:cs="Tahom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E83A70" w:rsidRPr="00967021" w14:paraId="626C1A56" w14:textId="77777777" w:rsidTr="001D409D">
        <w:tc>
          <w:tcPr>
            <w:tcW w:w="8909" w:type="dxa"/>
            <w:shd w:val="clear" w:color="auto" w:fill="DBE5F1" w:themeFill="accent1" w:themeFillTint="33"/>
          </w:tcPr>
          <w:p w14:paraId="600C527D" w14:textId="32C32417" w:rsidR="002D1CC2" w:rsidRPr="00967021" w:rsidRDefault="002D1CC2" w:rsidP="006836C5">
            <w:pPr>
              <w:contextualSpacing/>
              <w:rPr>
                <w:rFonts w:ascii="Cambria" w:hAnsi="Cambria" w:cs="Tahoma"/>
                <w:b/>
                <w:i/>
                <w:color w:val="000000" w:themeColor="text1"/>
                <w:szCs w:val="22"/>
                <w:lang w:val="id-ID"/>
              </w:rPr>
            </w:pPr>
            <w:r w:rsidRPr="00967021">
              <w:rPr>
                <w:rFonts w:ascii="Cambria" w:hAnsi="Cambria" w:cs="Tahoma"/>
                <w:b/>
                <w:i/>
                <w:color w:val="000000" w:themeColor="text1"/>
                <w:szCs w:val="22"/>
              </w:rPr>
              <w:t>Abstract</w:t>
            </w:r>
            <w:r w:rsidRPr="00967021">
              <w:rPr>
                <w:rFonts w:ascii="Cambria" w:hAnsi="Cambria" w:cs="Tahoma"/>
                <w:b/>
                <w:i/>
                <w:color w:val="000000" w:themeColor="text1"/>
                <w:szCs w:val="22"/>
                <w:lang w:val="id-ID"/>
              </w:rPr>
              <w:t xml:space="preserve"> </w:t>
            </w:r>
          </w:p>
          <w:p w14:paraId="39131638" w14:textId="77777777" w:rsidR="00944206" w:rsidRPr="00944206" w:rsidRDefault="00944206" w:rsidP="00944206">
            <w:pPr>
              <w:jc w:val="both"/>
              <w:rPr>
                <w:rFonts w:ascii="Cambria" w:hAnsi="Cambria" w:cs="Tahoma"/>
                <w:i/>
                <w:color w:val="000000" w:themeColor="text1"/>
                <w:szCs w:val="22"/>
                <w:lang w:val="en-ID" w:eastAsia="id-ID"/>
              </w:rPr>
            </w:pPr>
            <w:r w:rsidRPr="00944206">
              <w:rPr>
                <w:rFonts w:ascii="Cambria" w:hAnsi="Cambria" w:cs="Tahoma"/>
                <w:i/>
                <w:color w:val="000000" w:themeColor="text1"/>
                <w:szCs w:val="22"/>
                <w:lang w:val="en-ID" w:eastAsia="id-ID"/>
              </w:rPr>
              <w:t>Taxes are a vital source of state revenue that play a crucial role in supporting fiscal independence and national development. As the contribution of natural resources declines, the government seeks to optimize tax revenue by enhancing public awareness, including among younger generations. This community service activity aimed to instill early tax awareness by introducing Income Tax Article 21 (PPh 21) to senior high school students at Madrasah As’Adiyah in Makassar. The methods used included interactive tax education, simple tax calculation simulations, and assessments to measure students' understanding. The results indicated a high level of enthusiasm, significant improvement in both conceptual and practical understanding of PPh 21, and an increased awareness of the role of taxes in national life. Educating students about PPh 21 proved to be an effective long-term strategy for developing a tax-conscious generation. Therefore, integrating tax education into the formal school curriculum and fostering sustained collaboration with tax authorities are essential to strengthening these outcomes.</w:t>
            </w:r>
          </w:p>
          <w:p w14:paraId="2C4835E4" w14:textId="4BF8449B" w:rsidR="00944206" w:rsidRPr="00944206" w:rsidRDefault="00944206" w:rsidP="00944206">
            <w:pPr>
              <w:jc w:val="both"/>
              <w:rPr>
                <w:rFonts w:ascii="Cambria" w:hAnsi="Cambria" w:cs="Tahoma"/>
                <w:i/>
                <w:color w:val="000000" w:themeColor="text1"/>
                <w:szCs w:val="22"/>
                <w:lang w:val="en-ID" w:eastAsia="id-ID"/>
              </w:rPr>
            </w:pPr>
            <w:r w:rsidRPr="00944206">
              <w:rPr>
                <w:rFonts w:ascii="Cambria" w:hAnsi="Cambria" w:cs="Tahoma"/>
                <w:b/>
                <w:bCs/>
                <w:i/>
                <w:color w:val="000000" w:themeColor="text1"/>
                <w:szCs w:val="22"/>
                <w:lang w:val="en-ID" w:eastAsia="id-ID"/>
              </w:rPr>
              <w:t>Keywords:</w:t>
            </w:r>
            <w:r w:rsidRPr="00944206">
              <w:rPr>
                <w:rFonts w:ascii="Cambria" w:hAnsi="Cambria" w:cs="Tahoma"/>
                <w:i/>
                <w:color w:val="000000" w:themeColor="text1"/>
                <w:szCs w:val="22"/>
                <w:lang w:val="en-ID" w:eastAsia="id-ID"/>
              </w:rPr>
              <w:t xml:space="preserve"> </w:t>
            </w:r>
            <w:r w:rsidR="009F57BB">
              <w:rPr>
                <w:rFonts w:ascii="Cambria" w:hAnsi="Cambria" w:cs="Tahoma"/>
                <w:i/>
                <w:color w:val="000000" w:themeColor="text1"/>
                <w:szCs w:val="22"/>
                <w:lang w:val="en-ID" w:eastAsia="id-ID"/>
              </w:rPr>
              <w:t>Tax Literacy; Tax Education;</w:t>
            </w:r>
            <w:r w:rsidR="009F57BB" w:rsidRPr="00944206">
              <w:rPr>
                <w:rFonts w:ascii="Cambria" w:hAnsi="Cambria" w:cs="Tahoma"/>
                <w:i/>
                <w:color w:val="000000" w:themeColor="text1"/>
                <w:szCs w:val="22"/>
                <w:lang w:val="en-ID" w:eastAsia="id-ID"/>
              </w:rPr>
              <w:t xml:space="preserve"> Community Service</w:t>
            </w:r>
          </w:p>
          <w:p w14:paraId="665B94E6" w14:textId="77777777" w:rsidR="002D1CC2" w:rsidRPr="00967021" w:rsidRDefault="002D1CC2" w:rsidP="00BF1A4B">
            <w:pPr>
              <w:contextualSpacing/>
              <w:rPr>
                <w:rFonts w:ascii="Cambria" w:hAnsi="Cambria" w:cs="Tahoma"/>
                <w:bCs/>
                <w:iCs/>
                <w:color w:val="000000" w:themeColor="text1"/>
                <w:szCs w:val="22"/>
              </w:rPr>
            </w:pPr>
          </w:p>
        </w:tc>
      </w:tr>
      <w:tr w:rsidR="00E83A70" w:rsidRPr="00967021" w14:paraId="35252F69" w14:textId="77777777" w:rsidTr="001D409D">
        <w:tc>
          <w:tcPr>
            <w:tcW w:w="8909" w:type="dxa"/>
            <w:shd w:val="clear" w:color="auto" w:fill="DBE5F1" w:themeFill="accent1" w:themeFillTint="33"/>
          </w:tcPr>
          <w:p w14:paraId="683B4CD3" w14:textId="034C66CB" w:rsidR="002D1CC2" w:rsidRPr="00967021" w:rsidRDefault="002D1CC2" w:rsidP="006836C5">
            <w:pPr>
              <w:contextualSpacing/>
              <w:rPr>
                <w:rFonts w:ascii="Cambria" w:hAnsi="Cambria" w:cs="Tahoma"/>
                <w:b/>
                <w:color w:val="000000" w:themeColor="text1"/>
                <w:szCs w:val="22"/>
                <w:lang w:val="id-ID"/>
              </w:rPr>
            </w:pPr>
            <w:r w:rsidRPr="00967021">
              <w:rPr>
                <w:rFonts w:ascii="Cambria" w:hAnsi="Cambria" w:cs="Tahoma"/>
                <w:b/>
                <w:color w:val="000000" w:themeColor="text1"/>
                <w:szCs w:val="22"/>
              </w:rPr>
              <w:t>Abstrak</w:t>
            </w:r>
            <w:r w:rsidRPr="00967021">
              <w:rPr>
                <w:rFonts w:ascii="Cambria" w:hAnsi="Cambria" w:cs="Tahoma"/>
                <w:b/>
                <w:color w:val="000000" w:themeColor="text1"/>
                <w:szCs w:val="22"/>
                <w:lang w:val="id-ID"/>
              </w:rPr>
              <w:t xml:space="preserve"> </w:t>
            </w:r>
          </w:p>
          <w:p w14:paraId="0DCD8256" w14:textId="77777777" w:rsidR="00944206" w:rsidRPr="00944206" w:rsidRDefault="00944206" w:rsidP="00944206">
            <w:pPr>
              <w:jc w:val="both"/>
              <w:rPr>
                <w:rFonts w:ascii="Cambria" w:hAnsi="Cambria" w:cs="Tahoma"/>
                <w:color w:val="000000" w:themeColor="text1"/>
                <w:szCs w:val="22"/>
                <w:lang w:val="en-ID" w:eastAsia="id-ID"/>
              </w:rPr>
            </w:pPr>
            <w:r w:rsidRPr="00944206">
              <w:rPr>
                <w:rFonts w:ascii="Cambria" w:hAnsi="Cambria" w:cs="Tahoma"/>
                <w:color w:val="000000" w:themeColor="text1"/>
                <w:szCs w:val="22"/>
                <w:lang w:val="en-ID" w:eastAsia="id-ID"/>
              </w:rPr>
              <w:t>Pajak merupakan sumber utama pendapatan negara yang berperan vital dalam mendukung kemandirian fiskal dan pembangunan nasional. Seiring menurunnya kontribusi sektor sumber daya alam, pemerintah mendorong optimalisasi penerimaan pajak melalui peningkatan kesadaran masyarakat, termasuk generasi muda. Kegiatan pengabdian ini bertujuan untuk menanamkan kesadaran pajak sejak dini melalui edukasi Pajak Penghasilan Pasal 21 (PPh 21) kepada siswa Sekolah Menengah Atas (SMA) di Madrasah As’Adiyah, Makassar. Metode yang digunakan meliputi penyuluhan interaktif, simulasi perhitungan pajak, dan evaluasi pemahaman siswa. Hasil kegiatan menunjukkan antusiasme yang tinggi, peningkatan pemahaman konseptual dan praktis mengenai PPh 21, serta tumbuhnya kesadaran siswa terhadap peran pajak dalam kehidupan berbangsa. Edukasi PPh 21 terbukti efektif sebagai strategi jangka panjang dalam membentuk generasi sadar pajak. Oleh karena itu, diperlukan integrasi materi pajak dalam kurikulum sekolah serta kolaborasi berkelanjutan dengan otoritas perpajakan untuk memperkuat hasil yang dicapai.</w:t>
            </w:r>
          </w:p>
          <w:p w14:paraId="200DC542" w14:textId="4E79D5C8" w:rsidR="00944206" w:rsidRPr="00944206" w:rsidRDefault="00944206" w:rsidP="00944206">
            <w:pPr>
              <w:jc w:val="both"/>
              <w:rPr>
                <w:rFonts w:ascii="Cambria" w:hAnsi="Cambria" w:cs="Tahoma"/>
                <w:color w:val="000000" w:themeColor="text1"/>
                <w:szCs w:val="22"/>
                <w:lang w:val="en-ID" w:eastAsia="id-ID"/>
              </w:rPr>
            </w:pPr>
            <w:r w:rsidRPr="00944206">
              <w:rPr>
                <w:rFonts w:ascii="Cambria" w:hAnsi="Cambria" w:cs="Tahoma"/>
                <w:b/>
                <w:bCs/>
                <w:color w:val="000000" w:themeColor="text1"/>
                <w:szCs w:val="22"/>
                <w:lang w:val="en-ID" w:eastAsia="id-ID"/>
              </w:rPr>
              <w:t>Kata kunci:</w:t>
            </w:r>
            <w:r w:rsidR="009F57BB">
              <w:rPr>
                <w:rFonts w:ascii="Cambria" w:hAnsi="Cambria" w:cs="Tahoma"/>
                <w:color w:val="000000" w:themeColor="text1"/>
                <w:szCs w:val="22"/>
                <w:lang w:val="en-ID" w:eastAsia="id-ID"/>
              </w:rPr>
              <w:t xml:space="preserve"> Literasi P</w:t>
            </w:r>
            <w:r w:rsidRPr="00944206">
              <w:rPr>
                <w:rFonts w:ascii="Cambria" w:hAnsi="Cambria" w:cs="Tahoma"/>
                <w:color w:val="000000" w:themeColor="text1"/>
                <w:szCs w:val="22"/>
                <w:lang w:val="en-ID" w:eastAsia="id-ID"/>
              </w:rPr>
              <w:t>ajak</w:t>
            </w:r>
            <w:r w:rsidR="009F57BB">
              <w:rPr>
                <w:rFonts w:ascii="Cambria" w:hAnsi="Cambria" w:cs="Tahoma"/>
                <w:color w:val="000000" w:themeColor="text1"/>
                <w:szCs w:val="22"/>
                <w:lang w:val="en-ID" w:eastAsia="id-ID"/>
              </w:rPr>
              <w:t xml:space="preserve">; Edukasi Pajak; </w:t>
            </w:r>
            <w:r w:rsidR="009F57BB" w:rsidRPr="00944206">
              <w:rPr>
                <w:rFonts w:ascii="Cambria" w:hAnsi="Cambria" w:cs="Tahoma"/>
                <w:color w:val="000000" w:themeColor="text1"/>
                <w:szCs w:val="22"/>
                <w:lang w:val="en-ID" w:eastAsia="id-ID"/>
              </w:rPr>
              <w:t>Pengabdian Masyarakat</w:t>
            </w:r>
          </w:p>
          <w:p w14:paraId="03C4EF83" w14:textId="77777777" w:rsidR="00AA76F5" w:rsidRPr="00967021" w:rsidRDefault="00AA76F5" w:rsidP="002D1CC2">
            <w:pPr>
              <w:contextualSpacing/>
              <w:rPr>
                <w:rFonts w:ascii="Cambria" w:hAnsi="Cambria" w:cs="Tahoma"/>
                <w:b/>
                <w:i/>
                <w:color w:val="000000" w:themeColor="text1"/>
                <w:szCs w:val="22"/>
              </w:rPr>
            </w:pPr>
          </w:p>
        </w:tc>
      </w:tr>
    </w:tbl>
    <w:p w14:paraId="0C2B6F6A" w14:textId="77777777" w:rsidR="00904D6D" w:rsidRPr="00E83A70" w:rsidRDefault="001D409D" w:rsidP="00ED1031">
      <w:pPr>
        <w:tabs>
          <w:tab w:val="left" w:pos="426"/>
        </w:tabs>
        <w:spacing w:before="240" w:after="120"/>
        <w:rPr>
          <w:rFonts w:ascii="Cambria" w:hAnsi="Cambria" w:cs="Tahoma"/>
          <w:b/>
          <w:bCs/>
          <w:color w:val="000000" w:themeColor="text1"/>
          <w:sz w:val="22"/>
          <w:szCs w:val="24"/>
        </w:rPr>
      </w:pPr>
      <w:r w:rsidRPr="00E83A70">
        <w:rPr>
          <w:rFonts w:ascii="Cambria" w:hAnsi="Cambria" w:cs="Tahoma"/>
          <w:b/>
          <w:bCs/>
          <w:color w:val="000000" w:themeColor="text1"/>
          <w:sz w:val="22"/>
          <w:szCs w:val="24"/>
          <w:lang w:val="id-ID"/>
        </w:rPr>
        <w:t>PENDAHULUAN</w:t>
      </w:r>
    </w:p>
    <w:p w14:paraId="57D94F55" w14:textId="71826FD1" w:rsidR="00687448" w:rsidRPr="00687448" w:rsidRDefault="00687448" w:rsidP="00687448">
      <w:pPr>
        <w:tabs>
          <w:tab w:val="left" w:pos="426"/>
        </w:tabs>
        <w:spacing w:before="240"/>
        <w:jc w:val="both"/>
        <w:rPr>
          <w:rFonts w:ascii="Cambria" w:hAnsi="Cambria" w:cs="Tahoma"/>
          <w:color w:val="000000" w:themeColor="text1"/>
          <w:sz w:val="22"/>
          <w:szCs w:val="24"/>
          <w:lang w:val="en-ID"/>
        </w:rPr>
      </w:pPr>
      <w:r w:rsidRPr="00687448">
        <w:rPr>
          <w:rFonts w:ascii="Cambria" w:hAnsi="Cambria" w:cs="Tahoma"/>
          <w:color w:val="000000" w:themeColor="text1"/>
          <w:sz w:val="22"/>
          <w:szCs w:val="24"/>
          <w:lang w:val="en-ID"/>
        </w:rPr>
        <w:t>Pajak merupakan tulang punggung pendapatan negara yang esensial dalam membiayai pembangunan dan penyelenggaraan pemerintahan</w:t>
      </w:r>
      <w:r w:rsidR="00207F56">
        <w:rPr>
          <w:rFonts w:ascii="Cambria" w:hAnsi="Cambria" w:cs="Tahoma"/>
          <w:color w:val="000000" w:themeColor="text1"/>
          <w:sz w:val="22"/>
          <w:szCs w:val="24"/>
          <w:lang w:val="en-ID"/>
        </w:rPr>
        <w:t xml:space="preserve">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{"citationItems":[{"id":"ITEM-1","itemData":{"DOI":"10.32770/rbaos.vol321-34","ISSN":"2656-0054","abstract":"Taxes are a very important source of state revenue in supporting the country's development. State financing depends on tax revenue. Current tax revenue has not met the target, the sluggish Indonesian economy is the cause of not meeting the tax target. One of the efforts made by the government is to increase tax awareness where the Director General of Taxes implements one of the Tax Inclusion programs aimed at the younger generation, one of which is high school students. The given tax knowledge will encourage students to be positive and change the mindset of students so that they can produce positive tax behavior. This study uses two factors in measuring the tax awareness of high school students, namely tax literacy and social environment. The purpose of this study was to examine and analyze the effect of tax literacy and the social environment on tax awareness among high school students in Surabaya and Sidoarjo. The method used in sample selection is non-purposive sampling with a total sample of 398 respondents. The results of this study indicate that the tax literacy and social environment variables have an effect on tax awareness among high school students in Surabaya and Sidoarjo.","author":[{"dropping-particle":"","family":"Upa","given":"Vierly Ananta","non-dropping-particle":"","parse-names":false,"suffix":""},{"dropping-particle":"","family":"Suparta","given":"Niluh Kirana Ghetsya Shelesya","non-dropping-particle":"","parse-names":false,"suffix":""},{"dropping-particle":"","family":"Karundeng","given":"Frandy Efraim Fritz","non-dropping-particle":"","parse-names":false,"suffix":""}],"container-title":"Review of Behavioral Aspect in Organizations and Society","id":"ITEM-1","issue":"1","issued":{"date-parts":[["2021"]]},"page":"21-34","title":"The Effect of Tax Literation and Social Environment on Tax Awareness in High School Students","type":"article-journal","volume":"3"},"uris":["http://www.mendeley.com/documents/?uuid=6ba2df1b-7a83-4ae6-ad4d-fa35c239f1b7"]}],"mendeley":{"formattedCitation":"(Upa et al., 2021)","plainTextFormattedCitation":"(Upa et al., 2021)","previouslyFormattedCitation":"(Upa et al., 2021)"},"properties":{"noteIndex":0},"schema":"https://github.com/citation-style-language/schema/raw/master/csl-citation.json"}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w:t>
      </w:r>
      <w:bookmarkStart w:id="0" w:name="_GoBack"/>
      <w:bookmarkEnd w:id="0"/>
      <w:r w:rsidR="00207F56" w:rsidRPr="00207F56">
        <w:rPr>
          <w:rFonts w:ascii="Cambria" w:hAnsi="Cambria" w:cs="Tahoma"/>
          <w:noProof/>
          <w:color w:val="000000" w:themeColor="text1"/>
          <w:sz w:val="22"/>
          <w:szCs w:val="24"/>
          <w:lang w:val="en-ID"/>
        </w:rPr>
        <w:t>Upa et al., 2021)</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 Peran vital pajak ini menjadi semakin krusial seiring dengan menurunnya kontribusi sumber daya alam sebagai penopang utama devisa negara</w:t>
      </w:r>
      <w:r w:rsidR="00207F56">
        <w:rPr>
          <w:rFonts w:ascii="Cambria" w:hAnsi="Cambria" w:cs="Tahoma"/>
          <w:color w:val="000000" w:themeColor="text1"/>
          <w:sz w:val="22"/>
          <w:szCs w:val="24"/>
          <w:lang w:val="en-ID"/>
        </w:rPr>
        <w:t xml:space="preserve">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{"citationItems":[{"id":"ITEM-1","itemData":{"DOI":"10.21143/jhp.vol26.no2.504","ISSN":"0125-9687","abstract":"Pajak sebagai suatu sumber penghasilan negara semakin penting perannya sejalan dengan menipisnya sumber daya alam sebagai sumber devisa. Sehubungan dengan sinyalemen tersebut, tingkat kesadaran masyarakat untuk membayar kewajibannya terhadap perpajakan berpengaruh terhadap pemungutan pajak oleh aparat negara. Makin meningkatnya kebutuhan dana untuk pembangunan, dan makin besarnya volume hutang luar negeri, maka tiada alternatif lain selain peningkatan penghasilan negara dari sektor pajak. Penulis artikel ini membahas aspek hukum dan kelembagaan terhadap masalah perpajakan.","author":[{"dropping-particle":"","family":"Erliyana","given":"Anna","non-dropping-particle":"","parse-names":false,"suffix":""}],"container-title":"Jurnal Hukum &amp; Pembangunan","id":"ITEM-1","issue":"2","issued":{"date-parts":[["1996"]]},"page":"125","title":"Keberadaan Badan Peradilan Pajak Suatu Tinjauan Yuridis-Konstitusional","type":"article-journal","volume":"26"},"uris":["http://www.mendeley.com/documents/?uuid=a108fb58-b7c6-4a30-b520-3eee593bfd0c"]}],"mendeley":{"formattedCitation":"(Erliyana, 1996)","plainTextFormattedCitation":"(Erliyana, 1996)","previouslyFormattedCitation":"(Erliyana, 1996)"},"properties":{"noteIndex":0},"schema":"https://github.com/citation-style-language/schema/raw/master/csl-citation.json"}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(Erliyana, 1996)</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 Dalam menghadapi tantangan tersebut, pemerintah berupaya menggali sumber-sumber pendanaan lain yang lebih berkelanjutan, terutama dari potensi dalam negeri, baik melalui kekayaan alam maupun partisipasi masyarakat melalui pajak. Hal ini merupakan perwujudan dari semangat kemandirian bangsa dalam membiayai pembangunan nasional</w:t>
      </w:r>
      <w:r w:rsidR="00207F56">
        <w:rPr>
          <w:rFonts w:ascii="Cambria" w:hAnsi="Cambria" w:cs="Tahoma"/>
          <w:color w:val="000000" w:themeColor="text1"/>
          <w:sz w:val="22"/>
          <w:szCs w:val="24"/>
          <w:lang w:val="en-ID"/>
        </w:rPr>
        <w:t xml:space="preserve">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{"citationItems":[{"id":"ITEM-1","itemData":{"abstract":"Kebijakan fiskal adalah suatu kebijakan ekonomi dalam rangka mengarahkan kondisi perekonomian untuk menjadi lebih baik dengan jalan mengubah penerimaan dan pengeluaran pemerintah. Ada dua instrumen kebijakan fiskal yang biasa dijalankan pemerintah yaitu menerapkan sistem perpajakan dan mengatur pengeluaran pemerintah. Sistem perpajakan merupakan bagian dari Anggaran Pendapatan dan Belanja Negara, oleh karena diperlukan upaya peningkatan penerimaan pajak, terutama Pajak Penghasilan yang mempunyai porsi terbesar dalam APBN. \nTujuan dari penelitian ini adalah untuk mengetahui variabel pajak dan variabel makro terhadap penerimaan Pajak Penghasilan. Variabel Pajak diantaranya adalah KPP dan wajib pajak, sedangkan variabel makro adalah pertumbuhan ekonomi dan suku bunga. \nPenelitian ini menggunakan data sekunder time series tahun 2001-2012 yang diambil dari Biro Pusat Statistik (BPS), Direktorat Jenderal Pajak (DJP), dan beberapa jurnal serta literatur lain yang relevan berhubungan dengan penelitian ini. \nAlat analisis yang digunakan adalah regresi linier berganda. Variabel bebas nya adalah KPP, wajib pajak, pertumbuhan ekonomi dan suku bunga. Sedangkan variabel terikatnya adalah penerimaan pajak penghasilan . \nHasil penelitian ini menunjukkan rata-rata penerimaan Pajak Penghasilan time series 2001-2012 dipengaruhi secara positif oleh variabel KPP, wajib pajak, dan pertumbuhan ekonomi. Sedangkan suku bunga tidak berpengaruh secara signifikan.","author":[{"dropping-particle":"","family":"Rismawati","given":"Wenni","non-dropping-particle":"","parse-names":false,"suffix":""}],"id":"ITEM-1","issued":{"date-parts":[["2013"]]},"title":"Pengaruh Variabel Pajak Dan Variabel Makroekonomi Terhadap Penerimaan Pajak Penghasilan (Studi Kasus: 2001-2012)","type":"article-journal"},"uris":["http://www.mendeley.com/documents/?uuid=49b574b1-e58a-406b-be9b-f654f1b62006"]}],"mendeley":{"formattedCitation":"(Rismawati, 2013)","plainTextFormattedCitation":"(Rismawati, 2013)","previouslyFormattedCitation":"(Rismawati, 2013)"},"properties":{"noteIndex":0},"schema":"https://github.com/citation-style-language/schema/raw/master/csl-citation.json"}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(Rismawati, 2013)</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w:t>
      </w:r>
    </w:p>
    <w:p w14:paraId="46C56478" w14:textId="242EC4D4" w:rsidR="00687448" w:rsidRPr="00687448" w:rsidRDefault="00687448" w:rsidP="00687448">
      <w:pPr>
        <w:tabs>
          <w:tab w:val="left" w:pos="426"/>
        </w:tabs>
        <w:spacing w:before="240"/>
        <w:jc w:val="both"/>
        <w:rPr>
          <w:rFonts w:ascii="Cambria" w:hAnsi="Cambria" w:cs="Tahoma"/>
          <w:color w:val="000000" w:themeColor="text1"/>
          <w:sz w:val="22"/>
          <w:szCs w:val="24"/>
          <w:lang w:val="en-ID"/>
        </w:rPr>
      </w:pPr>
      <w:r w:rsidRPr="00687448">
        <w:rPr>
          <w:rFonts w:ascii="Cambria" w:hAnsi="Cambria" w:cs="Tahoma"/>
          <w:color w:val="000000" w:themeColor="text1"/>
          <w:sz w:val="22"/>
          <w:szCs w:val="24"/>
          <w:lang w:val="en-ID"/>
        </w:rPr>
        <w:t xml:space="preserve">Untuk itu, kontribusi penerimaan negara dari dalam negeri diharapkan terus meningkat setiap tahunnya. Peningkatan ini mencerminkan keinginan pemerintah untuk memperkuat kemandirian fiskal, yang hanya dapat dicapai dengan partisipasi aktif masyarakat, terutama melalui pembayaran pajak secara sadar dan sukarela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{"citationItems":[{"id":"ITEM-1","itemData":{"author":[{"dropping-particle":"","family":"Handono","given":"Regi","non-dropping-particle":"","parse-names":false,"suffix":""}],"container-title":"Jurnal YUSTIKA Media Hukum dan Keadilan","id":"ITEM-1","issue":"2","issued":{"date-parts":[["2020"]]},"title":"Penerapan Uang Elektronik Dalam Peningkatan Kepatuhan Pembayaran Pajak Bagi Wajib Pajak Di Indonesia","type":"article-journal","volume":"3"},"uris":["http://www.mendeley.com/documents/?uuid=2cd6370a-1e37-42d5-bb7e-be48afaaf37f"]}],"mendeley":{"formattedCitation":"(Handono, 2020)","plainTextFormattedCitation":"(Handono, 2020)","previouslyFormattedCitation":"(Handono, 2020)"},"properties":{"noteIndex":0},"schema":"https://github.com/citation-style-language/schema/raw/master/csl-citation.json"}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(Handono, 2020)</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w:t>
      </w:r>
    </w:p>
    <w:p w14:paraId="1DAC1B59" w14:textId="1BBDD9DE" w:rsidR="00687448" w:rsidRPr="00687448" w:rsidRDefault="00687448" w:rsidP="00687448">
      <w:pPr>
        <w:tabs>
          <w:tab w:val="left" w:pos="426"/>
        </w:tabs>
        <w:spacing w:before="240"/>
        <w:jc w:val="both"/>
        <w:rPr>
          <w:rFonts w:ascii="Cambria" w:hAnsi="Cambria" w:cs="Tahoma"/>
          <w:color w:val="000000" w:themeColor="text1"/>
          <w:sz w:val="22"/>
          <w:szCs w:val="24"/>
          <w:lang w:val="en-ID"/>
        </w:rPr>
      </w:pPr>
      <w:r w:rsidRPr="00687448">
        <w:rPr>
          <w:rFonts w:ascii="Cambria" w:hAnsi="Cambria" w:cs="Tahoma"/>
          <w:color w:val="000000" w:themeColor="text1"/>
          <w:sz w:val="22"/>
          <w:szCs w:val="24"/>
          <w:lang w:val="en-ID"/>
        </w:rPr>
        <w:lastRenderedPageBreak/>
        <w:t>Sistem perpajakan di Indonesia menganut prinsip self-assessment system, yaitu memberikan kepercayaan penuh kepada Wajib Pajak untuk menghitung, membayar, dan melaporkan sendiri kewajiban perpajakannya</w:t>
      </w:r>
      <w:r w:rsidR="00207F56">
        <w:rPr>
          <w:rFonts w:ascii="Cambria" w:hAnsi="Cambria" w:cs="Tahoma"/>
          <w:color w:val="000000" w:themeColor="text1"/>
          <w:sz w:val="22"/>
          <w:szCs w:val="24"/>
          <w:lang w:val="en-ID"/>
        </w:rPr>
        <w:t xml:space="preserve">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{"citationItems":[{"id":"ITEM-1","itemData":{"author":[{"dropping-particle":"","family":"Wahasusmiah","given":"Rolia","non-dropping-particle":"","parse-names":false,"suffix":""}],"container-title":"Jurnal Ilmu Sosial, Manajemen, Akuntansi, dan Bisnis","id":"ITEM-1","issue":"3","issued":{"date-parts":[["2022"]]},"page":"128-138","title":"Implementasi e-Faktur terhadap Kepatuhan Pengusaha Kena Pajak dalam Pelaporan SPT Masa PPn","type":"article-journal","volume":"3"},"uris":["http://www.mendeley.com/documents/?uuid=b9a0d035-c95a-44ea-90ac-84a76008ad4b"]}],"mendeley":{"formattedCitation":"(Wahasusmiah, 2022)","plainTextFormattedCitation":"(Wahasusmiah, 2022)","previouslyFormattedCitation":"(Wahasusmiah, 2022)"},"properties":{"noteIndex":0},"schema":"https://github.com/citation-style-language/schema/raw/master/csl-citation.json"}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(Wahasusmiah, 2022)</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 Meskipun sistem ini memberikan fleksibilitas, namun menuntut tingkat kesadaran dan kepatuhan yang tinggi dari masyarakat. Keberhasilan implementasi sistem ini sangat bergantung pada pemahaman, kesadaran, dan tanggung jawab Wajib Pajak terhadap peraturan perpajakan.</w:t>
      </w:r>
    </w:p>
    <w:p w14:paraId="5FCB1C3F" w14:textId="083B88B9" w:rsidR="00687448" w:rsidRPr="00687448" w:rsidRDefault="00687448" w:rsidP="00207F56">
      <w:pPr>
        <w:tabs>
          <w:tab w:val="left" w:pos="426"/>
          <w:tab w:val="num" w:pos="720"/>
        </w:tabs>
        <w:spacing w:before="240"/>
        <w:jc w:val="both"/>
        <w:rPr>
          <w:rFonts w:ascii="Cambria" w:hAnsi="Cambria" w:cs="Tahoma"/>
          <w:color w:val="000000" w:themeColor="text1"/>
          <w:sz w:val="22"/>
          <w:szCs w:val="24"/>
          <w:lang w:val="en-ID"/>
        </w:rPr>
      </w:pPr>
      <w:r w:rsidRPr="00687448">
        <w:rPr>
          <w:rFonts w:ascii="Cambria" w:hAnsi="Cambria" w:cs="Tahoma"/>
          <w:color w:val="000000" w:themeColor="text1"/>
          <w:sz w:val="22"/>
          <w:szCs w:val="24"/>
          <w:lang w:val="en-ID"/>
        </w:rPr>
        <w:t>Dalam konteks ini, edukasi perpajakan sejak dini, khususnya di tingkat sekolah menengah, menjadi langkah strategis untuk menanamkan kesadaran pajak. Salah satu pendekatan yang efektif adalah melalui pengajaran Pajak Penghasilan Pasal 21 (PPh 21), yang dapat menjadi jembatan pemahaman siswa terhadap konsep perpajakan secara praktis. Beberapa manfaat edukasi PPh 21 bagi pelajar SMA antara lain</w:t>
      </w:r>
      <w:r>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Pengenalan Konsep Penghasilan dan Pajak</w:t>
      </w:r>
      <w:r w:rsidRPr="00687448">
        <w:rPr>
          <w:rFonts w:ascii="Cambria" w:hAnsi="Cambria" w:cs="Tahoma"/>
          <w:color w:val="000000" w:themeColor="text1"/>
          <w:sz w:val="22"/>
          <w:szCs w:val="24"/>
          <w:lang w:val="en-ID"/>
        </w:rPr>
        <w:br/>
        <w:t xml:space="preserve">Melalui PPh 21, siswa dapat memahami bahwa penghasilan yang diperoleh seseorang dikenakan pajak, sehingga membentuk kesadaran bahwa bekerja berarti juga berkontribusi bagi negara </w:t>
      </w:r>
      <w:r w:rsidR="00207F56">
        <w:rPr>
          <w:rFonts w:ascii="Cambria" w:hAnsi="Cambria" w:cs="Tahoma"/>
          <w:color w:val="000000" w:themeColor="text1"/>
          <w:sz w:val="22"/>
          <w:szCs w:val="24"/>
          <w:lang w:val="en-ID"/>
        </w:rPr>
        <w:fldChar w:fldCharType="begin" w:fldLock="1"/>
      </w:r>
      <w:r w:rsidR="00207F56">
        <w:rPr>
          <w:rFonts w:ascii="Cambria" w:hAnsi="Cambria" w:cs="Tahoma"/>
          <w:color w:val="000000" w:themeColor="text1"/>
          <w:sz w:val="22"/>
          <w:szCs w:val="24"/>
          <w:lang w:val="en-ID"/>
        </w:rPr>
        <w:instrText>ADDIN CSL_CITATION {"citationItems":[{"id":"ITEM-1","itemData":{"author":[{"dropping-particle":"","family":"Sudirgo","given":"Tony","non-dropping-particle":"","parse-names":false,"suffix":""},{"dropping-particle":"","family":"Thasya","given":"Syam Hafiva","non-dropping-particle":"","parse-names":false,"suffix":""},{"dropping-particle":"","family":"Sharon","given":"","non-dropping-particle":"","parse-names":false,"suffix":""},{"dropping-particle":"","family":"Gibrillia","given":"Audi","non-dropping-particle":"","parse-names":false,"suffix":""}],"container-title":"Jurnal Bakti Masyarakat Indonesia","id":"ITEM-1","issue":"3","issued":{"date-parts":[["2021"]]},"page":"532-539","title":"PELATIHAN PERHITUNGAN PAJAK PENGHASILAN PEGAWAI UNTUK SISWA-SISWI SMA BHINNEKA TUNGGAL IKA JAKARTA","type":"article-journal","volume":"4"},"uris":["http://www.mendeley.com/documents/?uuid=e1473fe9-7b15-4bb7-871e-71b8d031c5ea"]}],"mendeley":{"formattedCitation":"(Sudirgo et al., 2021)","plainTextFormattedCitation":"(Sudirgo et al., 2021)","previouslyFormattedCitation":"(Sudirgo et al., 2021)"},"properties":{"noteIndex":0},"schema":"https://github.com/citation-style-language/schema/raw/master/csl-citation.json"}</w:instrText>
      </w:r>
      <w:r w:rsidR="00207F56">
        <w:rPr>
          <w:rFonts w:ascii="Cambria" w:hAnsi="Cambria" w:cs="Tahoma"/>
          <w:color w:val="000000" w:themeColor="text1"/>
          <w:sz w:val="22"/>
          <w:szCs w:val="24"/>
          <w:lang w:val="en-ID"/>
        </w:rPr>
        <w:fldChar w:fldCharType="separate"/>
      </w:r>
      <w:r w:rsidR="00207F56" w:rsidRPr="00207F56">
        <w:rPr>
          <w:rFonts w:ascii="Cambria" w:hAnsi="Cambria" w:cs="Tahoma"/>
          <w:noProof/>
          <w:color w:val="000000" w:themeColor="text1"/>
          <w:sz w:val="22"/>
          <w:szCs w:val="24"/>
          <w:lang w:val="en-ID"/>
        </w:rPr>
        <w:t>(Sudirgo et al., 2021)</w:t>
      </w:r>
      <w:r w:rsidR="00207F56">
        <w:rPr>
          <w:rFonts w:ascii="Cambria" w:hAnsi="Cambria" w:cs="Tahoma"/>
          <w:color w:val="000000" w:themeColor="text1"/>
          <w:sz w:val="22"/>
          <w:szCs w:val="24"/>
          <w:lang w:val="en-ID"/>
        </w:rPr>
        <w:fldChar w:fldCharType="end"/>
      </w:r>
      <w:r w:rsidRPr="00687448">
        <w:rPr>
          <w:rFonts w:ascii="Cambria" w:hAnsi="Cambria" w:cs="Tahoma"/>
          <w:color w:val="000000" w:themeColor="text1"/>
          <w:sz w:val="22"/>
          <w:szCs w:val="24"/>
          <w:lang w:val="en-ID"/>
        </w:rPr>
        <w:t>. Ini penting karena sebagian lulusan SMA akan langsung memasuki dunia kerja.</w:t>
      </w:r>
      <w:r>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Simulasi Peran sebagai Wajib Pajak</w:t>
      </w:r>
      <w:r w:rsidR="00207F56">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Mempelajari PPh 21 memungkinkan siswa untuk mengenal peran dan tanggung jawab mereka sebagai calon wajib pajak, bahkan sebelum mereka terjun ke dunia kerja. Simulasi ini akan menumbuhkan sikap tanggung jawab dan disiplin (Sudirgo et al., 2021).</w:t>
      </w:r>
      <w:r>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Menghindari Kesalahan Perhitungan di Masa Depan</w:t>
      </w:r>
      <w:r w:rsidR="00207F56">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Edukasi praktis melalui latihan perhitungan PPh 21 akan membekali siswa dengan keterampilan teknis yang berguna saat mereka telah memiliki penghasilan. Ini sekaligus mencegah kesalahan administratif dan potensi sanksi perpajakan yang merugikan (Sudirgo et al., 2021).</w:t>
      </w:r>
      <w:r>
        <w:rPr>
          <w:rFonts w:ascii="Cambria" w:hAnsi="Cambria" w:cs="Tahoma"/>
          <w:color w:val="000000" w:themeColor="text1"/>
          <w:sz w:val="22"/>
          <w:szCs w:val="24"/>
          <w:lang w:val="en-ID"/>
        </w:rPr>
        <w:t xml:space="preserve"> </w:t>
      </w:r>
      <w:r w:rsidRPr="00687448">
        <w:rPr>
          <w:rFonts w:ascii="Cambria" w:hAnsi="Cambria" w:cs="Tahoma"/>
          <w:color w:val="000000" w:themeColor="text1"/>
          <w:sz w:val="22"/>
          <w:szCs w:val="24"/>
          <w:lang w:val="en-ID"/>
        </w:rPr>
        <w:t>Dengan demikian, edukasi pajak sejak dini, khususnya melalui materi PPh 21, dapat menjadi strategi jangka panjang dalam menciptakan generasi yang melek pajak, patuh hukum, dan berkontribusi aktif terhadap pembangunan nasional melalui kepatuhan perpajakan.</w:t>
      </w:r>
    </w:p>
    <w:p w14:paraId="43CAFDDE" w14:textId="77777777" w:rsidR="00904D6D" w:rsidRPr="00E83A70" w:rsidRDefault="001D409D" w:rsidP="00ED1031">
      <w:pPr>
        <w:tabs>
          <w:tab w:val="left" w:pos="426"/>
        </w:tabs>
        <w:spacing w:before="240" w:after="120"/>
        <w:rPr>
          <w:rFonts w:ascii="Cambria" w:hAnsi="Cambria" w:cs="Tahoma"/>
          <w:b/>
          <w:bCs/>
          <w:color w:val="000000" w:themeColor="text1"/>
          <w:sz w:val="22"/>
          <w:szCs w:val="24"/>
          <w:lang w:val="id-ID"/>
        </w:rPr>
      </w:pPr>
      <w:r w:rsidRPr="00E83A70">
        <w:rPr>
          <w:rFonts w:ascii="Cambria" w:hAnsi="Cambria" w:cs="Tahoma"/>
          <w:b/>
          <w:bCs/>
          <w:color w:val="000000" w:themeColor="text1"/>
          <w:sz w:val="22"/>
          <w:szCs w:val="24"/>
        </w:rPr>
        <w:t>METODE</w:t>
      </w:r>
      <w:r w:rsidR="00B3642B" w:rsidRPr="00E83A70">
        <w:rPr>
          <w:rFonts w:ascii="Cambria" w:hAnsi="Cambria" w:cs="Tahoma"/>
          <w:b/>
          <w:bCs/>
          <w:color w:val="000000" w:themeColor="text1"/>
          <w:sz w:val="22"/>
          <w:szCs w:val="24"/>
        </w:rPr>
        <w:t xml:space="preserve"> </w:t>
      </w:r>
    </w:p>
    <w:p w14:paraId="3DC097BC" w14:textId="4206F1E4" w:rsidR="008361F3" w:rsidRPr="008361F3" w:rsidRDefault="008361F3" w:rsidP="008361F3">
      <w:pPr>
        <w:tabs>
          <w:tab w:val="left" w:pos="426"/>
        </w:tabs>
        <w:spacing w:after="120"/>
        <w:jc w:val="both"/>
        <w:rPr>
          <w:rFonts w:ascii="Cambria" w:hAnsi="Cambria" w:cs="Tahoma"/>
          <w:color w:val="000000" w:themeColor="text1"/>
          <w:sz w:val="22"/>
          <w:szCs w:val="24"/>
          <w:lang w:val="en-ID"/>
        </w:rPr>
      </w:pPr>
      <w:r w:rsidRPr="008361F3">
        <w:rPr>
          <w:rFonts w:ascii="Cambria" w:hAnsi="Cambria" w:cs="Tahoma"/>
          <w:color w:val="000000" w:themeColor="text1"/>
          <w:sz w:val="22"/>
          <w:szCs w:val="24"/>
          <w:lang w:val="en-ID"/>
        </w:rPr>
        <w:t>Kegiatan pengabdian ini dilakukan di Sekolah Menengah Ata</w:t>
      </w:r>
      <w:r w:rsidR="001C0F29">
        <w:rPr>
          <w:rFonts w:ascii="Cambria" w:hAnsi="Cambria" w:cs="Tahoma"/>
          <w:color w:val="000000" w:themeColor="text1"/>
          <w:sz w:val="22"/>
          <w:szCs w:val="24"/>
          <w:lang w:val="en-ID"/>
        </w:rPr>
        <w:t xml:space="preserve">s (Madrasah As’Adiyah) </w:t>
      </w:r>
      <w:r w:rsidRPr="008361F3">
        <w:rPr>
          <w:rFonts w:ascii="Cambria" w:hAnsi="Cambria" w:cs="Tahoma"/>
          <w:color w:val="000000" w:themeColor="text1"/>
          <w:sz w:val="22"/>
          <w:szCs w:val="24"/>
          <w:lang w:val="en-ID"/>
        </w:rPr>
        <w:t>di Kota Makassar. Adapun tahapan</w:t>
      </w:r>
      <w:r w:rsidR="00687448">
        <w:rPr>
          <w:rFonts w:ascii="Cambria" w:hAnsi="Cambria" w:cs="Tahoma"/>
          <w:color w:val="000000" w:themeColor="text1"/>
          <w:sz w:val="22"/>
          <w:szCs w:val="24"/>
          <w:lang w:val="en-ID"/>
        </w:rPr>
        <w:t xml:space="preserve"> dan metode</w:t>
      </w:r>
      <w:r w:rsidRPr="008361F3">
        <w:rPr>
          <w:rFonts w:ascii="Cambria" w:hAnsi="Cambria" w:cs="Tahoma"/>
          <w:color w:val="000000" w:themeColor="text1"/>
          <w:sz w:val="22"/>
          <w:szCs w:val="24"/>
          <w:lang w:val="en-ID"/>
        </w:rPr>
        <w:t xml:space="preserve"> pelaksanaan meliputi:</w:t>
      </w:r>
    </w:p>
    <w:p w14:paraId="2089EF60" w14:textId="77777777" w:rsidR="008361F3" w:rsidRPr="008361F3" w:rsidRDefault="008361F3" w:rsidP="008361F3">
      <w:pPr>
        <w:numPr>
          <w:ilvl w:val="0"/>
          <w:numId w:val="22"/>
        </w:numPr>
        <w:tabs>
          <w:tab w:val="left" w:pos="426"/>
        </w:tabs>
        <w:spacing w:after="120"/>
        <w:jc w:val="both"/>
        <w:rPr>
          <w:rFonts w:ascii="Cambria" w:hAnsi="Cambria" w:cs="Tahoma"/>
          <w:color w:val="000000" w:themeColor="text1"/>
          <w:sz w:val="22"/>
          <w:szCs w:val="24"/>
          <w:lang w:val="en-ID"/>
        </w:rPr>
      </w:pPr>
      <w:r w:rsidRPr="008361F3">
        <w:rPr>
          <w:rFonts w:ascii="Cambria" w:hAnsi="Cambria" w:cs="Tahoma"/>
          <w:color w:val="000000" w:themeColor="text1"/>
          <w:sz w:val="22"/>
          <w:szCs w:val="24"/>
          <w:lang w:val="en-ID"/>
        </w:rPr>
        <w:t>Persiapan Materi: Penyusunan modul singkat mengenai konsep dasar PPh 21, peran pajak dalam pembangunan, serta simulasi penghitungan pajak sederhana.</w:t>
      </w:r>
    </w:p>
    <w:p w14:paraId="66B0F4D0" w14:textId="77777777" w:rsidR="008361F3" w:rsidRPr="008361F3" w:rsidRDefault="008361F3" w:rsidP="008361F3">
      <w:pPr>
        <w:numPr>
          <w:ilvl w:val="0"/>
          <w:numId w:val="22"/>
        </w:numPr>
        <w:tabs>
          <w:tab w:val="left" w:pos="426"/>
        </w:tabs>
        <w:spacing w:after="120"/>
        <w:jc w:val="both"/>
        <w:rPr>
          <w:rFonts w:ascii="Cambria" w:hAnsi="Cambria" w:cs="Tahoma"/>
          <w:color w:val="000000" w:themeColor="text1"/>
          <w:sz w:val="22"/>
          <w:szCs w:val="24"/>
          <w:lang w:val="en-ID"/>
        </w:rPr>
      </w:pPr>
      <w:r w:rsidRPr="008361F3">
        <w:rPr>
          <w:rFonts w:ascii="Cambria" w:hAnsi="Cambria" w:cs="Tahoma"/>
          <w:color w:val="000000" w:themeColor="text1"/>
          <w:sz w:val="22"/>
          <w:szCs w:val="24"/>
          <w:lang w:val="en-ID"/>
        </w:rPr>
        <w:t>Metode Penyuluhan: Penyampaian materi dilakukan secara tatap muka melalui media presentasi interaktif dan penggunaan bahasa sehari-hari untuk memudahkan pemahaman siswa.</w:t>
      </w:r>
    </w:p>
    <w:p w14:paraId="2DACBF95" w14:textId="77777777" w:rsidR="008361F3" w:rsidRPr="008361F3" w:rsidRDefault="008361F3" w:rsidP="008361F3">
      <w:pPr>
        <w:numPr>
          <w:ilvl w:val="0"/>
          <w:numId w:val="22"/>
        </w:numPr>
        <w:tabs>
          <w:tab w:val="left" w:pos="426"/>
        </w:tabs>
        <w:spacing w:after="120"/>
        <w:jc w:val="both"/>
        <w:rPr>
          <w:rFonts w:ascii="Cambria" w:hAnsi="Cambria" w:cs="Tahoma"/>
          <w:color w:val="000000" w:themeColor="text1"/>
          <w:sz w:val="22"/>
          <w:szCs w:val="24"/>
          <w:lang w:val="en-ID"/>
        </w:rPr>
      </w:pPr>
      <w:r w:rsidRPr="008361F3">
        <w:rPr>
          <w:rFonts w:ascii="Cambria" w:hAnsi="Cambria" w:cs="Tahoma"/>
          <w:color w:val="000000" w:themeColor="text1"/>
          <w:sz w:val="22"/>
          <w:szCs w:val="24"/>
          <w:lang w:val="en-ID"/>
        </w:rPr>
        <w:t>Simulasi &amp; Diskusi: Siswa diberikan contoh kasus sederhana dan diajak menghitung sendiri pajak penghasilan berdasarkan tarif PPh 21.</w:t>
      </w:r>
    </w:p>
    <w:p w14:paraId="573E7FCF" w14:textId="77777777" w:rsidR="008361F3" w:rsidRPr="008361F3" w:rsidRDefault="008361F3" w:rsidP="008361F3">
      <w:pPr>
        <w:numPr>
          <w:ilvl w:val="0"/>
          <w:numId w:val="22"/>
        </w:numPr>
        <w:tabs>
          <w:tab w:val="left" w:pos="426"/>
        </w:tabs>
        <w:spacing w:after="120"/>
        <w:jc w:val="both"/>
        <w:rPr>
          <w:rFonts w:ascii="Cambria" w:hAnsi="Cambria" w:cs="Tahoma"/>
          <w:color w:val="000000" w:themeColor="text1"/>
          <w:sz w:val="22"/>
          <w:szCs w:val="24"/>
          <w:lang w:val="en-ID"/>
        </w:rPr>
      </w:pPr>
      <w:r w:rsidRPr="008361F3">
        <w:rPr>
          <w:rFonts w:ascii="Cambria" w:hAnsi="Cambria" w:cs="Tahoma"/>
          <w:color w:val="000000" w:themeColor="text1"/>
          <w:sz w:val="22"/>
          <w:szCs w:val="24"/>
          <w:lang w:val="en-ID"/>
        </w:rPr>
        <w:t>Evaluasi: Di akhir sesi, siswa diberikan kuis ringan untuk mengukur peningkatan pemahaman serta diberikan kesempatan untuk bertanya.</w:t>
      </w:r>
    </w:p>
    <w:p w14:paraId="3008A465" w14:textId="77777777" w:rsidR="00904D6D" w:rsidRPr="00E83A70" w:rsidRDefault="001D409D" w:rsidP="00ED1031">
      <w:pPr>
        <w:tabs>
          <w:tab w:val="left" w:pos="426"/>
        </w:tabs>
        <w:spacing w:before="240" w:after="120"/>
        <w:rPr>
          <w:rFonts w:ascii="Cambria" w:hAnsi="Cambria" w:cs="Tahoma"/>
          <w:b/>
          <w:bCs/>
          <w:color w:val="000000" w:themeColor="text1"/>
          <w:sz w:val="22"/>
          <w:szCs w:val="24"/>
          <w:lang w:val="id-ID"/>
        </w:rPr>
      </w:pPr>
      <w:r w:rsidRPr="00E83A70">
        <w:rPr>
          <w:rFonts w:ascii="Cambria" w:hAnsi="Cambria" w:cs="Tahoma"/>
          <w:b/>
          <w:bCs/>
          <w:color w:val="000000" w:themeColor="text1"/>
          <w:sz w:val="22"/>
          <w:szCs w:val="24"/>
        </w:rPr>
        <w:t xml:space="preserve">HASIL DAN PEMBAHASAN </w:t>
      </w:r>
    </w:p>
    <w:p w14:paraId="670F540F" w14:textId="56F64E91" w:rsid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 xml:space="preserve">Kegiatan pengabdian kepada masyarakat yang dilakukan dengan memberikan edukasi mengenai Pajak Penghasilan Pasal 21 (PPh 21) kepada siswa </w:t>
      </w:r>
      <w:r w:rsidRPr="008361F3">
        <w:rPr>
          <w:rFonts w:ascii="Cambria" w:hAnsi="Cambria" w:cs="Tahoma"/>
          <w:color w:val="000000" w:themeColor="text1"/>
          <w:sz w:val="22"/>
          <w:szCs w:val="24"/>
          <w:lang w:val="en-ID"/>
        </w:rPr>
        <w:t>Sekolah Menengah Ata</w:t>
      </w:r>
      <w:r>
        <w:rPr>
          <w:rFonts w:ascii="Cambria" w:hAnsi="Cambria" w:cs="Tahoma"/>
          <w:color w:val="000000" w:themeColor="text1"/>
          <w:sz w:val="22"/>
          <w:szCs w:val="24"/>
          <w:lang w:val="en-ID"/>
        </w:rPr>
        <w:t xml:space="preserve">s (Madrasah As’Adiyah) </w:t>
      </w:r>
      <w:r w:rsidRPr="00944206">
        <w:rPr>
          <w:rFonts w:ascii="Cambria" w:hAnsi="Cambria" w:cs="Tahoma"/>
          <w:color w:val="000000" w:themeColor="text1"/>
          <w:sz w:val="22"/>
          <w:szCs w:val="22"/>
          <w:lang w:val="en-ID"/>
        </w:rPr>
        <w:t>memberikan sejumlah hasil yang signifikan, baik dari aspek kognitif maupun afektif siswa. Secara umum, program ini menunjukkan hasil yang positif dalam hal peningkatan literasi pajak sejak dini. Berikut uraian hasil secara lebih mendalam:</w:t>
      </w:r>
    </w:p>
    <w:p w14:paraId="4230F1A2" w14:textId="347C184B" w:rsidR="00E8480A" w:rsidRDefault="00E8480A" w:rsidP="00944206">
      <w:pPr>
        <w:tabs>
          <w:tab w:val="left" w:pos="2552"/>
        </w:tabs>
        <w:spacing w:line="276" w:lineRule="auto"/>
        <w:ind w:firstLine="547"/>
        <w:jc w:val="both"/>
        <w:rPr>
          <w:rFonts w:ascii="Cambria" w:hAnsi="Cambria" w:cs="Tahoma"/>
          <w:color w:val="000000" w:themeColor="text1"/>
          <w:sz w:val="22"/>
          <w:szCs w:val="22"/>
          <w:lang w:val="en-ID"/>
        </w:rPr>
      </w:pPr>
    </w:p>
    <w:p w14:paraId="17BCCE90" w14:textId="77777777" w:rsidR="00E8480A" w:rsidRPr="00944206" w:rsidRDefault="00E8480A" w:rsidP="00944206">
      <w:pPr>
        <w:tabs>
          <w:tab w:val="left" w:pos="2552"/>
        </w:tabs>
        <w:spacing w:line="276" w:lineRule="auto"/>
        <w:ind w:firstLine="547"/>
        <w:jc w:val="both"/>
        <w:rPr>
          <w:rFonts w:ascii="Cambria" w:hAnsi="Cambria" w:cs="Tahoma"/>
          <w:color w:val="000000" w:themeColor="text1"/>
          <w:sz w:val="22"/>
          <w:szCs w:val="22"/>
          <w:lang w:val="en-ID"/>
        </w:rPr>
      </w:pPr>
    </w:p>
    <w:p w14:paraId="5218B244" w14:textId="77777777" w:rsidR="00944206" w:rsidRPr="00944206" w:rsidRDefault="00944206" w:rsidP="00944206">
      <w:pPr>
        <w:tabs>
          <w:tab w:val="left" w:pos="2552"/>
        </w:tabs>
        <w:spacing w:line="276" w:lineRule="auto"/>
        <w:ind w:firstLine="547"/>
        <w:jc w:val="both"/>
        <w:rPr>
          <w:rFonts w:ascii="Cambria" w:hAnsi="Cambria" w:cs="Tahoma"/>
          <w:b/>
          <w:bCs/>
          <w:color w:val="000000" w:themeColor="text1"/>
          <w:sz w:val="22"/>
          <w:szCs w:val="22"/>
          <w:lang w:val="en-ID"/>
        </w:rPr>
      </w:pPr>
      <w:r w:rsidRPr="00944206">
        <w:rPr>
          <w:rFonts w:ascii="Cambria" w:hAnsi="Cambria" w:cs="Tahoma"/>
          <w:b/>
          <w:bCs/>
          <w:color w:val="000000" w:themeColor="text1"/>
          <w:sz w:val="22"/>
          <w:szCs w:val="22"/>
          <w:lang w:val="en-ID"/>
        </w:rPr>
        <w:lastRenderedPageBreak/>
        <w:t>1. Antusiasme Siswa Sangat Tinggi</w:t>
      </w:r>
    </w:p>
    <w:p w14:paraId="187BCD59"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Salah satu temuan paling mencolok dalam kegiatan ini adalah tingginya antusiasme siswa terhadap materi pajak yang disampaikan. Hal ini terlihat dari partisipasi aktif mereka selama sesi diskusi, banyaknya pertanyaan yang diajukan, serta semangat mengikuti simulasi perhitungan pajak. Mayoritas siswa menyatakan bahwa mereka belum pernah mendapatkan materi perpajakan sebelumnya, baik secara formal dalam kurikulum maupun dalam kegiatan ekstrakurikuler. Fakta ini menunjukkan bahwa masih ada ruang yang sangat luas untuk memasukkan topik pajak dalam pendidikan dasar dan menengah.</w:t>
      </w:r>
    </w:p>
    <w:p w14:paraId="60817F5C"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Beberapa siswa bahkan menyampaikan ketertarikan untuk mengetahui lebih lanjut mengenai pajak lainnya seperti Pajak Pertambahan Nilai (PPN) dan Pajak Bumi dan Bangunan (PBB). Ini menunjukkan bahwa edukasi sederhana namun aplikatif dapat memicu rasa ingin tahu siswa terhadap sistem perpajakan secara umum.</w:t>
      </w:r>
    </w:p>
    <w:p w14:paraId="62FFD6D1" w14:textId="77777777" w:rsidR="00944206" w:rsidRPr="00944206" w:rsidRDefault="00944206" w:rsidP="00944206">
      <w:pPr>
        <w:tabs>
          <w:tab w:val="left" w:pos="2552"/>
        </w:tabs>
        <w:spacing w:line="276" w:lineRule="auto"/>
        <w:ind w:firstLine="547"/>
        <w:jc w:val="both"/>
        <w:rPr>
          <w:rFonts w:ascii="Cambria" w:hAnsi="Cambria" w:cs="Tahoma"/>
          <w:b/>
          <w:bCs/>
          <w:color w:val="000000" w:themeColor="text1"/>
          <w:sz w:val="22"/>
          <w:szCs w:val="22"/>
          <w:lang w:val="en-ID"/>
        </w:rPr>
      </w:pPr>
      <w:r w:rsidRPr="00944206">
        <w:rPr>
          <w:rFonts w:ascii="Cambria" w:hAnsi="Cambria" w:cs="Tahoma"/>
          <w:b/>
          <w:bCs/>
          <w:color w:val="000000" w:themeColor="text1"/>
          <w:sz w:val="22"/>
          <w:szCs w:val="22"/>
          <w:lang w:val="en-ID"/>
        </w:rPr>
        <w:t>2. Peningkatan Pemahaman Konseptual dan Praktis</w:t>
      </w:r>
    </w:p>
    <w:p w14:paraId="0BE10D6F"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Sebelum kegiatan berlangsung, mayoritas siswa tidak mengetahui apa itu PPh 21, siapa yang dikenakan pajak, dan bagaimana cara menghitungnya. Namun setelah sesi penyuluhan dan simulasi interaktif dilakukan, terjadi peningkatan pemahaman yang signifikan. Siswa mulai dapat:</w:t>
      </w:r>
    </w:p>
    <w:p w14:paraId="53CD1851" w14:textId="77777777" w:rsidR="00944206" w:rsidRPr="00944206" w:rsidRDefault="00944206" w:rsidP="00944206">
      <w:pPr>
        <w:numPr>
          <w:ilvl w:val="0"/>
          <w:numId w:val="28"/>
        </w:numPr>
        <w:tabs>
          <w:tab w:val="left" w:pos="2552"/>
        </w:tabs>
        <w:spacing w:line="276" w:lineRule="auto"/>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Menjelaskan definisi PPh 21 sebagai pajak atas penghasilan dari pekerjaan.</w:t>
      </w:r>
    </w:p>
    <w:p w14:paraId="7E2AAFB7" w14:textId="77777777" w:rsidR="00944206" w:rsidRPr="00944206" w:rsidRDefault="00944206" w:rsidP="00944206">
      <w:pPr>
        <w:numPr>
          <w:ilvl w:val="0"/>
          <w:numId w:val="28"/>
        </w:numPr>
        <w:tabs>
          <w:tab w:val="left" w:pos="2552"/>
        </w:tabs>
        <w:spacing w:line="276" w:lineRule="auto"/>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Mengidentifikasi komponen dalam penghitungan PPh 21, seperti penghasilan bruto dan PTKP.</w:t>
      </w:r>
    </w:p>
    <w:p w14:paraId="46A40CF2" w14:textId="77777777" w:rsidR="00944206" w:rsidRPr="00944206" w:rsidRDefault="00944206" w:rsidP="00944206">
      <w:pPr>
        <w:numPr>
          <w:ilvl w:val="0"/>
          <w:numId w:val="28"/>
        </w:numPr>
        <w:tabs>
          <w:tab w:val="left" w:pos="2552"/>
        </w:tabs>
        <w:spacing w:line="276" w:lineRule="auto"/>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Melakukan simulasi perhitungan PPh 21 sederhana dengan tarif progresif.</w:t>
      </w:r>
    </w:p>
    <w:p w14:paraId="1E91775C"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Peningkatan pemahaman ini terlihat dari hasil evaluasi akhir dalam bentuk kuis serta kemampuan siswa menjawab pertanyaan studi kasus yang diberikan. Keberhasilan ini diperoleh melalui pendekatan pembelajaran kontekstual yang disesuaikan dengan realitas siswa serta penggunaan bahasa yang sederhana dan mudah dipahami.</w:t>
      </w:r>
    </w:p>
    <w:p w14:paraId="4D9CB6EC" w14:textId="77777777" w:rsidR="00944206" w:rsidRPr="00944206" w:rsidRDefault="00944206" w:rsidP="00944206">
      <w:pPr>
        <w:tabs>
          <w:tab w:val="left" w:pos="2552"/>
        </w:tabs>
        <w:spacing w:line="276" w:lineRule="auto"/>
        <w:ind w:firstLine="547"/>
        <w:jc w:val="both"/>
        <w:rPr>
          <w:rFonts w:ascii="Cambria" w:hAnsi="Cambria" w:cs="Tahoma"/>
          <w:b/>
          <w:bCs/>
          <w:color w:val="000000" w:themeColor="text1"/>
          <w:sz w:val="22"/>
          <w:szCs w:val="22"/>
          <w:lang w:val="en-ID"/>
        </w:rPr>
      </w:pPr>
      <w:r w:rsidRPr="00944206">
        <w:rPr>
          <w:rFonts w:ascii="Cambria" w:hAnsi="Cambria" w:cs="Tahoma"/>
          <w:b/>
          <w:bCs/>
          <w:color w:val="000000" w:themeColor="text1"/>
          <w:sz w:val="22"/>
          <w:szCs w:val="22"/>
          <w:lang w:val="en-ID"/>
        </w:rPr>
        <w:t>3. Kesadaran Pajak Mulai Tertanam</w:t>
      </w:r>
    </w:p>
    <w:p w14:paraId="102265E9"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Aspek afektif dari edukasi juga mengalami perkembangan positif. Melalui diskusi dan refleksi, siswa mulai memahami bahwa membayar pajak bukan hanya kewajiban hukum, tetapi juga bentuk tanggung jawab sosial terhadap negara dan masyarakat. Kesadaran ini tumbuh dari pemahaman mereka bahwa pajak digunakan untuk membiayai pendidikan, kesehatan, pembangunan, dan fasilitas publik yang mereka nikmati sehari-hari.</w:t>
      </w:r>
    </w:p>
    <w:p w14:paraId="12AC5DE2" w14:textId="77777777" w:rsidR="00944206" w:rsidRPr="00944206" w:rsidRDefault="00944206" w:rsidP="00944206">
      <w:pPr>
        <w:tabs>
          <w:tab w:val="left" w:pos="2552"/>
        </w:tabs>
        <w:spacing w:line="276" w:lineRule="auto"/>
        <w:ind w:firstLine="547"/>
        <w:jc w:val="both"/>
        <w:rPr>
          <w:rFonts w:ascii="Cambria" w:hAnsi="Cambria" w:cs="Tahoma"/>
          <w:color w:val="000000" w:themeColor="text1"/>
          <w:sz w:val="22"/>
          <w:szCs w:val="22"/>
          <w:lang w:val="en-ID"/>
        </w:rPr>
      </w:pPr>
      <w:r w:rsidRPr="00944206">
        <w:rPr>
          <w:rFonts w:ascii="Cambria" w:hAnsi="Cambria" w:cs="Tahoma"/>
          <w:color w:val="000000" w:themeColor="text1"/>
          <w:sz w:val="22"/>
          <w:szCs w:val="22"/>
          <w:lang w:val="en-ID"/>
        </w:rPr>
        <w:t>Siswa juga menunjukkan pemahaman bahwa sebagai calon pekerja atau profesional di masa depan, mereka akan memiliki kewajiban pajak yang harus dipenuhi. Ini merupakan langkah awal yang penting dalam membentuk karakter generasi muda yang patuh dan sadar pajak.</w:t>
      </w:r>
    </w:p>
    <w:p w14:paraId="39DBE5DF" w14:textId="7F184C03" w:rsidR="00904D6D" w:rsidRPr="00E83A70" w:rsidRDefault="001D409D" w:rsidP="00743E75">
      <w:pPr>
        <w:tabs>
          <w:tab w:val="left" w:pos="426"/>
        </w:tabs>
        <w:spacing w:before="120" w:after="120"/>
        <w:rPr>
          <w:rFonts w:ascii="Cambria" w:hAnsi="Cambria" w:cs="Tahoma"/>
          <w:b/>
          <w:bCs/>
          <w:color w:val="000000" w:themeColor="text1"/>
          <w:sz w:val="22"/>
          <w:szCs w:val="24"/>
          <w:lang w:val="id-ID"/>
        </w:rPr>
      </w:pPr>
      <w:r w:rsidRPr="00E83A70">
        <w:rPr>
          <w:rFonts w:ascii="Cambria" w:hAnsi="Cambria" w:cs="Tahoma"/>
          <w:b/>
          <w:bCs/>
          <w:color w:val="000000" w:themeColor="text1"/>
          <w:sz w:val="22"/>
          <w:szCs w:val="24"/>
        </w:rPr>
        <w:t>KESIMPULAN</w:t>
      </w:r>
      <w:r w:rsidR="00743E75" w:rsidRPr="00E83A70">
        <w:rPr>
          <w:rFonts w:ascii="Cambria" w:hAnsi="Cambria" w:cs="Tahoma"/>
          <w:b/>
          <w:bCs/>
          <w:color w:val="000000" w:themeColor="text1"/>
          <w:sz w:val="22"/>
          <w:szCs w:val="24"/>
        </w:rPr>
        <w:t xml:space="preserve"> </w:t>
      </w:r>
    </w:p>
    <w:p w14:paraId="09121AED" w14:textId="77777777" w:rsidR="00944206" w:rsidRPr="00944206" w:rsidRDefault="00944206" w:rsidP="00944206">
      <w:pPr>
        <w:spacing w:line="276" w:lineRule="auto"/>
        <w:jc w:val="both"/>
        <w:rPr>
          <w:rFonts w:ascii="Cambria" w:hAnsi="Cambria" w:cs="Tahoma"/>
          <w:color w:val="000000" w:themeColor="text1"/>
          <w:sz w:val="22"/>
          <w:szCs w:val="24"/>
          <w:lang w:val="en-ID"/>
        </w:rPr>
      </w:pPr>
      <w:r w:rsidRPr="00944206">
        <w:rPr>
          <w:rFonts w:ascii="Cambria" w:hAnsi="Cambria" w:cs="Tahoma"/>
          <w:color w:val="000000" w:themeColor="text1"/>
          <w:sz w:val="22"/>
          <w:szCs w:val="24"/>
          <w:lang w:val="en-ID"/>
        </w:rPr>
        <w:t xml:space="preserve">Pajak memiliki peran vital sebagai sumber utama pembiayaan negara dan simbol kemandirian nasional dalam menyelenggarakan pembangunan. Seiring berkurangnya kontribusi sumber daya alam, peningkatan partisipasi masyarakat melalui pembayaran pajak menjadi semakin penting. Namun, sistem perpajakan Indonesia yang menganut prinsip </w:t>
      </w:r>
      <w:r w:rsidRPr="00944206">
        <w:rPr>
          <w:rFonts w:ascii="Cambria" w:hAnsi="Cambria" w:cs="Tahoma"/>
          <w:i/>
          <w:iCs/>
          <w:color w:val="000000" w:themeColor="text1"/>
          <w:sz w:val="22"/>
          <w:szCs w:val="24"/>
          <w:lang w:val="en-ID"/>
        </w:rPr>
        <w:t>self-assessment</w:t>
      </w:r>
      <w:r w:rsidRPr="00944206">
        <w:rPr>
          <w:rFonts w:ascii="Cambria" w:hAnsi="Cambria" w:cs="Tahoma"/>
          <w:color w:val="000000" w:themeColor="text1"/>
          <w:sz w:val="22"/>
          <w:szCs w:val="24"/>
          <w:lang w:val="en-ID"/>
        </w:rPr>
        <w:t xml:space="preserve"> menuntut tingkat kesadaran dan kepatuhan yang tinggi dari masyarakat. Oleh karena itu, edukasi pajak sejak dini merupakan strategi penting untuk membentuk generasi yang sadar dan patuh terhadap kewajiban perpajakannya.</w:t>
      </w:r>
    </w:p>
    <w:p w14:paraId="169FB3D7" w14:textId="151CAC81" w:rsidR="00944206" w:rsidRPr="00944206" w:rsidRDefault="00944206" w:rsidP="00944206">
      <w:pPr>
        <w:spacing w:line="276" w:lineRule="auto"/>
        <w:jc w:val="both"/>
        <w:rPr>
          <w:rFonts w:ascii="Cambria" w:hAnsi="Cambria" w:cs="Tahoma"/>
          <w:color w:val="000000" w:themeColor="text1"/>
          <w:sz w:val="22"/>
          <w:szCs w:val="24"/>
          <w:lang w:val="en-ID"/>
        </w:rPr>
      </w:pPr>
      <w:r w:rsidRPr="00944206">
        <w:rPr>
          <w:rFonts w:ascii="Cambria" w:hAnsi="Cambria" w:cs="Tahoma"/>
          <w:color w:val="000000" w:themeColor="text1"/>
          <w:sz w:val="22"/>
          <w:szCs w:val="24"/>
          <w:lang w:val="en-ID"/>
        </w:rPr>
        <w:lastRenderedPageBreak/>
        <w:t>Melalui kegiatan pengabdian yang dilakukan di Madrasah As’Adiyah Makassar, diperoleh hasil bahwa edukasi Pajak Penghasilan Pasal 21 (PPh 21) mampu meningkatkan literasi pajak pelajar secara signifikan. Antusiasme siswa yang tinggi, peningkatan pemahaman konsep dan teknis perpajakan, serta mulai tertanamnya kesadaran akan peran pajak dalam kehidupan berbangsa menunjukkan efektivitas pendekatan ini. Penggunaan metode penyuluhan interaktif, bahasa komunikatif, dan simulasi praktis terbukti mampu menjembatani kesenjangan pemahaman siswa terhadap isu perpajakan.</w:t>
      </w:r>
    </w:p>
    <w:p w14:paraId="07C30C5C" w14:textId="77777777" w:rsidR="00944206" w:rsidRPr="00944206" w:rsidRDefault="00944206" w:rsidP="00944206">
      <w:pPr>
        <w:spacing w:line="276" w:lineRule="auto"/>
        <w:jc w:val="both"/>
        <w:rPr>
          <w:rFonts w:ascii="Cambria" w:hAnsi="Cambria" w:cs="Tahoma"/>
          <w:color w:val="000000" w:themeColor="text1"/>
          <w:sz w:val="22"/>
          <w:szCs w:val="24"/>
          <w:lang w:val="en-ID"/>
        </w:rPr>
      </w:pPr>
      <w:r w:rsidRPr="00944206">
        <w:rPr>
          <w:rFonts w:ascii="Cambria" w:hAnsi="Cambria" w:cs="Tahoma"/>
          <w:color w:val="000000" w:themeColor="text1"/>
          <w:sz w:val="22"/>
          <w:szCs w:val="24"/>
          <w:lang w:val="en-ID"/>
        </w:rPr>
        <w:t>Dengan demikian, edukasi PPh 21 tidak hanya memberikan pengetahuan, tetapi juga membentuk sikap positif dan rasa tanggung jawab sosial sebagai calon wajib pajak. Kegiatan ini mendukung tujuan jangka panjang pemerintah dalam menciptakan masyarakat yang taat pajak dan mendorong kemandirian fiskal nasional. Untuk memperkuat dampaknya, diperlukan integrasi materi pajak dalam kurikulum formal serta sinergi yang berkelanjutan antara sekolah, lembaga pendidikan tinggi, dan otoritas perpajakan.</w:t>
      </w:r>
    </w:p>
    <w:p w14:paraId="79B21F07" w14:textId="77777777" w:rsidR="002B199B" w:rsidRPr="00E83A70" w:rsidRDefault="002B199B" w:rsidP="00904D6D">
      <w:pPr>
        <w:rPr>
          <w:rFonts w:ascii="Cambria" w:hAnsi="Cambria" w:cs="Tahoma"/>
          <w:b/>
          <w:bCs/>
          <w:color w:val="000000" w:themeColor="text1"/>
          <w:szCs w:val="22"/>
          <w:lang w:val="fi-FI"/>
        </w:rPr>
      </w:pPr>
    </w:p>
    <w:p w14:paraId="415D4E06" w14:textId="77777777" w:rsidR="00C35B8F" w:rsidRPr="00E83A70" w:rsidRDefault="001D409D" w:rsidP="00296EC4">
      <w:pPr>
        <w:spacing w:before="120" w:after="120"/>
        <w:rPr>
          <w:rFonts w:ascii="Cambria" w:hAnsi="Cambria" w:cs="Tahoma"/>
          <w:color w:val="000000" w:themeColor="text1"/>
          <w:szCs w:val="22"/>
          <w:lang w:val="pt-BR"/>
        </w:rPr>
      </w:pPr>
      <w:r w:rsidRPr="00E83A70">
        <w:rPr>
          <w:rStyle w:val="apple-style-span"/>
          <w:rFonts w:ascii="Cambria" w:hAnsi="Cambria" w:cs="Tahoma"/>
          <w:b/>
          <w:color w:val="000000" w:themeColor="text1"/>
          <w:szCs w:val="22"/>
          <w:lang w:val="pt-BR"/>
        </w:rPr>
        <w:t xml:space="preserve">DAFTAR PUSTAKA </w:t>
      </w:r>
    </w:p>
    <w:p w14:paraId="3058782D" w14:textId="5ED4B2A9" w:rsidR="00207F56" w:rsidRPr="00207F56" w:rsidRDefault="00207F56" w:rsidP="00207F56">
      <w:pPr>
        <w:widowControl w:val="0"/>
        <w:autoSpaceDE w:val="0"/>
        <w:autoSpaceDN w:val="0"/>
        <w:adjustRightInd w:val="0"/>
        <w:spacing w:after="120"/>
        <w:ind w:left="480" w:hanging="480"/>
        <w:jc w:val="both"/>
        <w:rPr>
          <w:rFonts w:ascii="Cambria" w:hAnsi="Cambria"/>
          <w:noProof/>
        </w:rPr>
      </w:pPr>
      <w:r>
        <w:rPr>
          <w:rFonts w:ascii="Cambria" w:hAnsi="Cambria" w:cs="Tahoma"/>
          <w:color w:val="000000" w:themeColor="text1"/>
          <w:szCs w:val="22"/>
          <w:lang w:val="id-ID"/>
        </w:rPr>
        <w:fldChar w:fldCharType="begin" w:fldLock="1"/>
      </w:r>
      <w:r>
        <w:rPr>
          <w:rFonts w:ascii="Cambria" w:hAnsi="Cambria" w:cs="Tahoma"/>
          <w:color w:val="000000" w:themeColor="text1"/>
          <w:szCs w:val="22"/>
          <w:lang w:val="id-ID"/>
        </w:rPr>
        <w:instrText xml:space="preserve">ADDIN Mendeley Bibliography CSL_BIBLIOGRAPHY </w:instrText>
      </w:r>
      <w:r>
        <w:rPr>
          <w:rFonts w:ascii="Cambria" w:hAnsi="Cambria" w:cs="Tahoma"/>
          <w:color w:val="000000" w:themeColor="text1"/>
          <w:szCs w:val="22"/>
          <w:lang w:val="id-ID"/>
        </w:rPr>
        <w:fldChar w:fldCharType="separate"/>
      </w:r>
      <w:r w:rsidRPr="00207F56">
        <w:rPr>
          <w:rFonts w:ascii="Cambria" w:hAnsi="Cambria"/>
          <w:noProof/>
        </w:rPr>
        <w:t xml:space="preserve">Erliyana, A. (1996). Keberadaan Badan Peradilan Pajak Suatu Tinjauan Yuridis-Konstitusional. </w:t>
      </w:r>
      <w:r w:rsidRPr="00207F56">
        <w:rPr>
          <w:rFonts w:ascii="Cambria" w:hAnsi="Cambria"/>
          <w:i/>
          <w:iCs/>
          <w:noProof/>
        </w:rPr>
        <w:t>Jurnal Hukum &amp; Pembangunan</w:t>
      </w:r>
      <w:r w:rsidRPr="00207F56">
        <w:rPr>
          <w:rFonts w:ascii="Cambria" w:hAnsi="Cambria"/>
          <w:noProof/>
        </w:rPr>
        <w:t xml:space="preserve">, </w:t>
      </w:r>
      <w:r w:rsidRPr="00207F56">
        <w:rPr>
          <w:rFonts w:ascii="Cambria" w:hAnsi="Cambria"/>
          <w:i/>
          <w:iCs/>
          <w:noProof/>
        </w:rPr>
        <w:t>26</w:t>
      </w:r>
      <w:r w:rsidRPr="00207F56">
        <w:rPr>
          <w:rFonts w:ascii="Cambria" w:hAnsi="Cambria"/>
          <w:noProof/>
        </w:rPr>
        <w:t>(2), 125. https://doi.org/10.21143/jhp.vol26.no2.504</w:t>
      </w:r>
    </w:p>
    <w:p w14:paraId="4D0725D9" w14:textId="77777777" w:rsidR="00207F56" w:rsidRPr="00207F56" w:rsidRDefault="00207F56" w:rsidP="00207F56">
      <w:pPr>
        <w:widowControl w:val="0"/>
        <w:autoSpaceDE w:val="0"/>
        <w:autoSpaceDN w:val="0"/>
        <w:adjustRightInd w:val="0"/>
        <w:spacing w:after="120"/>
        <w:ind w:left="480" w:hanging="480"/>
        <w:jc w:val="both"/>
        <w:rPr>
          <w:rFonts w:ascii="Cambria" w:hAnsi="Cambria"/>
          <w:noProof/>
        </w:rPr>
      </w:pPr>
      <w:r w:rsidRPr="00207F56">
        <w:rPr>
          <w:rFonts w:ascii="Cambria" w:hAnsi="Cambria"/>
          <w:noProof/>
        </w:rPr>
        <w:t xml:space="preserve">Handono, R. (2020). Penerapan Uang Elektronik Dalam Peningkatan Kepatuhan Pembayaran Pajak Bagi Wajib Pajak Di Indonesia. </w:t>
      </w:r>
      <w:r w:rsidRPr="00207F56">
        <w:rPr>
          <w:rFonts w:ascii="Cambria" w:hAnsi="Cambria"/>
          <w:i/>
          <w:iCs/>
          <w:noProof/>
        </w:rPr>
        <w:t>Jurnal YUSTIKA Media Hukum Dan Keadilan</w:t>
      </w:r>
      <w:r w:rsidRPr="00207F56">
        <w:rPr>
          <w:rFonts w:ascii="Cambria" w:hAnsi="Cambria"/>
          <w:noProof/>
        </w:rPr>
        <w:t xml:space="preserve">, </w:t>
      </w:r>
      <w:r w:rsidRPr="00207F56">
        <w:rPr>
          <w:rFonts w:ascii="Cambria" w:hAnsi="Cambria"/>
          <w:i/>
          <w:iCs/>
          <w:noProof/>
        </w:rPr>
        <w:t>3</w:t>
      </w:r>
      <w:r w:rsidRPr="00207F56">
        <w:rPr>
          <w:rFonts w:ascii="Cambria" w:hAnsi="Cambria"/>
          <w:noProof/>
        </w:rPr>
        <w:t>(2).</w:t>
      </w:r>
    </w:p>
    <w:p w14:paraId="2643C4F5" w14:textId="77777777" w:rsidR="00207F56" w:rsidRPr="00207F56" w:rsidRDefault="00207F56" w:rsidP="00207F56">
      <w:pPr>
        <w:widowControl w:val="0"/>
        <w:autoSpaceDE w:val="0"/>
        <w:autoSpaceDN w:val="0"/>
        <w:adjustRightInd w:val="0"/>
        <w:spacing w:after="120"/>
        <w:ind w:left="480" w:hanging="480"/>
        <w:jc w:val="both"/>
        <w:rPr>
          <w:rFonts w:ascii="Cambria" w:hAnsi="Cambria"/>
          <w:noProof/>
        </w:rPr>
      </w:pPr>
      <w:r w:rsidRPr="00207F56">
        <w:rPr>
          <w:rFonts w:ascii="Cambria" w:hAnsi="Cambria"/>
          <w:noProof/>
        </w:rPr>
        <w:t xml:space="preserve">Rismawati, W. (2013). </w:t>
      </w:r>
      <w:r w:rsidRPr="00207F56">
        <w:rPr>
          <w:rFonts w:ascii="Cambria" w:hAnsi="Cambria"/>
          <w:i/>
          <w:iCs/>
          <w:noProof/>
        </w:rPr>
        <w:t>Pengaruh Variabel Pajak Dan Variabel Makroekonomi Terhadap Penerimaan Pajak Penghasilan (Studi Kasus: 2001-2012)</w:t>
      </w:r>
      <w:r w:rsidRPr="00207F56">
        <w:rPr>
          <w:rFonts w:ascii="Cambria" w:hAnsi="Cambria"/>
          <w:noProof/>
        </w:rPr>
        <w:t>.</w:t>
      </w:r>
    </w:p>
    <w:p w14:paraId="10E7BDA7" w14:textId="77777777" w:rsidR="00207F56" w:rsidRPr="00207F56" w:rsidRDefault="00207F56" w:rsidP="00207F56">
      <w:pPr>
        <w:widowControl w:val="0"/>
        <w:autoSpaceDE w:val="0"/>
        <w:autoSpaceDN w:val="0"/>
        <w:adjustRightInd w:val="0"/>
        <w:spacing w:after="120"/>
        <w:ind w:left="480" w:hanging="480"/>
        <w:jc w:val="both"/>
        <w:rPr>
          <w:rFonts w:ascii="Cambria" w:hAnsi="Cambria"/>
          <w:noProof/>
        </w:rPr>
      </w:pPr>
      <w:r w:rsidRPr="00207F56">
        <w:rPr>
          <w:rFonts w:ascii="Cambria" w:hAnsi="Cambria"/>
          <w:noProof/>
        </w:rPr>
        <w:t xml:space="preserve">Sudirgo, T., Thasya, S. H., Sharon, &amp; Gibrillia, A. (2021). PELATIHAN PERHITUNGAN PAJAK PENGHASILAN PEGAWAI UNTUK SISWA-SISWI SMA BHINNEKA TUNGGAL IKA JAKARTA. </w:t>
      </w:r>
      <w:r w:rsidRPr="00207F56">
        <w:rPr>
          <w:rFonts w:ascii="Cambria" w:hAnsi="Cambria"/>
          <w:i/>
          <w:iCs/>
          <w:noProof/>
        </w:rPr>
        <w:t>Jurnal Bakti Masyarakat Indonesia</w:t>
      </w:r>
      <w:r w:rsidRPr="00207F56">
        <w:rPr>
          <w:rFonts w:ascii="Cambria" w:hAnsi="Cambria"/>
          <w:noProof/>
        </w:rPr>
        <w:t xml:space="preserve">, </w:t>
      </w:r>
      <w:r w:rsidRPr="00207F56">
        <w:rPr>
          <w:rFonts w:ascii="Cambria" w:hAnsi="Cambria"/>
          <w:i/>
          <w:iCs/>
          <w:noProof/>
        </w:rPr>
        <w:t>4</w:t>
      </w:r>
      <w:r w:rsidRPr="00207F56">
        <w:rPr>
          <w:rFonts w:ascii="Cambria" w:hAnsi="Cambria"/>
          <w:noProof/>
        </w:rPr>
        <w:t>(3), 532–539.</w:t>
      </w:r>
    </w:p>
    <w:p w14:paraId="2563708F" w14:textId="77777777" w:rsidR="00207F56" w:rsidRPr="00207F56" w:rsidRDefault="00207F56" w:rsidP="00207F56">
      <w:pPr>
        <w:widowControl w:val="0"/>
        <w:autoSpaceDE w:val="0"/>
        <w:autoSpaceDN w:val="0"/>
        <w:adjustRightInd w:val="0"/>
        <w:spacing w:after="120"/>
        <w:ind w:left="480" w:hanging="480"/>
        <w:jc w:val="both"/>
        <w:rPr>
          <w:rFonts w:ascii="Cambria" w:hAnsi="Cambria"/>
          <w:noProof/>
        </w:rPr>
      </w:pPr>
      <w:r w:rsidRPr="00207F56">
        <w:rPr>
          <w:rFonts w:ascii="Cambria" w:hAnsi="Cambria"/>
          <w:noProof/>
        </w:rPr>
        <w:t xml:space="preserve">Upa, V. A., Suparta, N. K. G. S., &amp; Karundeng, F. E. F. (2021). The Effect of Tax Literation and Social Environment on Tax Awareness in High School Students. </w:t>
      </w:r>
      <w:r w:rsidRPr="00207F56">
        <w:rPr>
          <w:rFonts w:ascii="Cambria" w:hAnsi="Cambria"/>
          <w:i/>
          <w:iCs/>
          <w:noProof/>
        </w:rPr>
        <w:t>Review of Behavioral Aspect in Organizations and Society</w:t>
      </w:r>
      <w:r w:rsidRPr="00207F56">
        <w:rPr>
          <w:rFonts w:ascii="Cambria" w:hAnsi="Cambria"/>
          <w:noProof/>
        </w:rPr>
        <w:t xml:space="preserve">, </w:t>
      </w:r>
      <w:r w:rsidRPr="00207F56">
        <w:rPr>
          <w:rFonts w:ascii="Cambria" w:hAnsi="Cambria"/>
          <w:i/>
          <w:iCs/>
          <w:noProof/>
        </w:rPr>
        <w:t>3</w:t>
      </w:r>
      <w:r w:rsidRPr="00207F56">
        <w:rPr>
          <w:rFonts w:ascii="Cambria" w:hAnsi="Cambria"/>
          <w:noProof/>
        </w:rPr>
        <w:t>(1), 21–34. https://doi.org/10.32770/rbaos.vol321-34</w:t>
      </w:r>
    </w:p>
    <w:p w14:paraId="72E1DCF6" w14:textId="77777777" w:rsidR="00207F56" w:rsidRPr="00207F56" w:rsidRDefault="00207F56" w:rsidP="00207F56">
      <w:pPr>
        <w:widowControl w:val="0"/>
        <w:autoSpaceDE w:val="0"/>
        <w:autoSpaceDN w:val="0"/>
        <w:adjustRightInd w:val="0"/>
        <w:spacing w:after="120"/>
        <w:ind w:left="480" w:hanging="480"/>
        <w:jc w:val="both"/>
        <w:rPr>
          <w:rFonts w:ascii="Cambria" w:hAnsi="Cambria"/>
          <w:noProof/>
        </w:rPr>
      </w:pPr>
      <w:r w:rsidRPr="00207F56">
        <w:rPr>
          <w:rFonts w:ascii="Cambria" w:hAnsi="Cambria"/>
          <w:noProof/>
        </w:rPr>
        <w:t xml:space="preserve">Wahasusmiah, R. (2022). Implementasi e-Faktur terhadap Kepatuhan Pengusaha Kena Pajak dalam Pelaporan SPT Masa PPn. </w:t>
      </w:r>
      <w:r w:rsidRPr="00207F56">
        <w:rPr>
          <w:rFonts w:ascii="Cambria" w:hAnsi="Cambria"/>
          <w:i/>
          <w:iCs/>
          <w:noProof/>
        </w:rPr>
        <w:t>Jurnal Ilmu Sosial, Manajemen, Akuntansi, Dan Bisnis</w:t>
      </w:r>
      <w:r w:rsidRPr="00207F56">
        <w:rPr>
          <w:rFonts w:ascii="Cambria" w:hAnsi="Cambria"/>
          <w:noProof/>
        </w:rPr>
        <w:t xml:space="preserve">, </w:t>
      </w:r>
      <w:r w:rsidRPr="00207F56">
        <w:rPr>
          <w:rFonts w:ascii="Cambria" w:hAnsi="Cambria"/>
          <w:i/>
          <w:iCs/>
          <w:noProof/>
        </w:rPr>
        <w:t>3</w:t>
      </w:r>
      <w:r w:rsidRPr="00207F56">
        <w:rPr>
          <w:rFonts w:ascii="Cambria" w:hAnsi="Cambria"/>
          <w:noProof/>
        </w:rPr>
        <w:t>(3), 128–138.</w:t>
      </w:r>
    </w:p>
    <w:p w14:paraId="7218BE58" w14:textId="34F2B9F5" w:rsidR="00F93079" w:rsidRPr="00E83A70" w:rsidRDefault="00207F56" w:rsidP="006C5819">
      <w:pPr>
        <w:autoSpaceDE w:val="0"/>
        <w:autoSpaceDN w:val="0"/>
        <w:adjustRightInd w:val="0"/>
        <w:spacing w:after="120"/>
        <w:ind w:left="567" w:hanging="567"/>
        <w:jc w:val="both"/>
        <w:rPr>
          <w:rFonts w:ascii="Cambria" w:hAnsi="Cambria" w:cs="Tahoma"/>
          <w:color w:val="000000" w:themeColor="text1"/>
          <w:szCs w:val="22"/>
        </w:rPr>
      </w:pPr>
      <w:r>
        <w:rPr>
          <w:rFonts w:ascii="Cambria" w:hAnsi="Cambria" w:cs="Tahoma"/>
          <w:color w:val="000000" w:themeColor="text1"/>
          <w:szCs w:val="22"/>
          <w:lang w:val="id-ID"/>
        </w:rPr>
        <w:fldChar w:fldCharType="end"/>
      </w:r>
      <w:r w:rsidR="006B155B" w:rsidRPr="00E83A70">
        <w:rPr>
          <w:rFonts w:ascii="Cambria" w:hAnsi="Cambria" w:cs="Tahoma"/>
          <w:color w:val="000000" w:themeColor="text1"/>
          <w:szCs w:val="22"/>
          <w:lang w:val="id-ID"/>
        </w:rPr>
        <w:t xml:space="preserve"> </w:t>
      </w:r>
    </w:p>
    <w:sectPr w:rsidR="00F93079" w:rsidRPr="00E83A70" w:rsidSect="007F4536">
      <w:headerReference w:type="even" r:id="rId9"/>
      <w:headerReference w:type="default" r:id="rId10"/>
      <w:footerReference w:type="default" r:id="rId11"/>
      <w:headerReference w:type="first" r:id="rId12"/>
      <w:footerReference w:type="first" r:id="rId13"/>
      <w:pgSz w:w="11907" w:h="16840" w:code="9"/>
      <w:pgMar w:top="753" w:right="1418" w:bottom="1418" w:left="1701" w:header="1134" w:footer="775" w:gutter="0"/>
      <w:pgNumType w:start="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99A8C" w14:textId="77777777" w:rsidR="00B60A96" w:rsidRDefault="00B60A96">
      <w:r>
        <w:separator/>
      </w:r>
    </w:p>
  </w:endnote>
  <w:endnote w:type="continuationSeparator" w:id="0">
    <w:p w14:paraId="2C0E8DBC" w14:textId="77777777" w:rsidR="00B60A96" w:rsidRDefault="00B6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1C0F"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BD2B" w14:textId="56D2E06B" w:rsidR="00097958" w:rsidRPr="00E80797" w:rsidRDefault="007F4536" w:rsidP="0094256E">
    <w:pPr>
      <w:pStyle w:val="Footer"/>
      <w:spacing w:before="240"/>
      <w:jc w:val="center"/>
      <w:rPr>
        <w:rFonts w:ascii="Tahoma" w:hAnsi="Tahoma" w:cs="Tahoma"/>
        <w:lang w:val="id-ID"/>
      </w:rPr>
    </w:pPr>
    <w:r>
      <w:rPr>
        <w:rFonts w:ascii="Tahoma" w:hAnsi="Tahoma" w:cs="Tahoma"/>
        <w:lang w:val="id-ID"/>
      </w:rPr>
      <w:t>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D3C62" w14:textId="77777777" w:rsidR="00B60A96" w:rsidRDefault="00B60A96">
      <w:r>
        <w:separator/>
      </w:r>
    </w:p>
  </w:footnote>
  <w:footnote w:type="continuationSeparator" w:id="0">
    <w:p w14:paraId="08B84471" w14:textId="77777777" w:rsidR="00B60A96" w:rsidRDefault="00B60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7787" w14:textId="06E11907" w:rsidR="00097958" w:rsidRPr="00E80797" w:rsidRDefault="00EB5D17" w:rsidP="00BC625D">
    <w:pPr>
      <w:pStyle w:val="Header"/>
      <w:framePr w:wrap="around" w:vAnchor="text" w:hAnchor="page" w:x="1786" w:y="7"/>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7F4536">
      <w:rPr>
        <w:rStyle w:val="PageNumber"/>
        <w:rFonts w:ascii="Tahoma" w:hAnsi="Tahoma" w:cs="Tahoma"/>
        <w:noProof/>
      </w:rPr>
      <w:t>48</w:t>
    </w:r>
    <w:r w:rsidRPr="00E80797">
      <w:rPr>
        <w:rStyle w:val="PageNumber"/>
        <w:rFonts w:ascii="Tahoma" w:hAnsi="Tahoma" w:cs="Tahoma"/>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EC182B" w:rsidRPr="00734F76" w14:paraId="0782F564" w14:textId="77777777" w:rsidTr="00E91857">
      <w:tc>
        <w:tcPr>
          <w:tcW w:w="710" w:type="dxa"/>
        </w:tcPr>
        <w:p w14:paraId="0DDC5C2C" w14:textId="77777777" w:rsidR="00EC182B" w:rsidRPr="00EC182B" w:rsidRDefault="00EC182B" w:rsidP="00BC625D">
          <w:pPr>
            <w:tabs>
              <w:tab w:val="left" w:pos="3969"/>
            </w:tabs>
            <w:spacing w:line="360" w:lineRule="auto"/>
            <w:rPr>
              <w:rFonts w:ascii="Tahoma" w:hAnsi="Tahoma" w:cs="Tahoma"/>
              <w:b/>
              <w:bCs/>
              <w:sz w:val="18"/>
              <w:lang w:val="id-ID"/>
            </w:rPr>
          </w:pPr>
        </w:p>
      </w:tc>
      <w:tc>
        <w:tcPr>
          <w:tcW w:w="8079" w:type="dxa"/>
        </w:tcPr>
        <w:p w14:paraId="59C8CD90" w14:textId="20987DBE" w:rsidR="00EC182B" w:rsidRPr="00E8480A" w:rsidRDefault="00207F56" w:rsidP="00BB4A42">
          <w:pPr>
            <w:tabs>
              <w:tab w:val="left" w:pos="3969"/>
            </w:tabs>
            <w:jc w:val="right"/>
            <w:rPr>
              <w:rFonts w:ascii="Tahoma" w:hAnsi="Tahoma" w:cs="Tahoma"/>
              <w:b/>
              <w:bCs/>
              <w:sz w:val="18"/>
            </w:rPr>
          </w:pPr>
          <w:r w:rsidRPr="00E8480A">
            <w:rPr>
              <w:rFonts w:ascii="Tahoma" w:hAnsi="Tahoma" w:cs="Tahoma"/>
              <w:b/>
              <w:bCs/>
              <w:sz w:val="18"/>
            </w:rPr>
            <w:t xml:space="preserve">Karmilah </w:t>
          </w:r>
          <w:r w:rsidR="00BB4A42" w:rsidRPr="00E8480A">
            <w:rPr>
              <w:rFonts w:ascii="Tahoma" w:hAnsi="Tahoma" w:cs="Tahoma"/>
              <w:b/>
              <w:bCs/>
              <w:sz w:val="18"/>
            </w:rPr>
            <w:t>et al.</w:t>
          </w:r>
        </w:p>
      </w:tc>
    </w:tr>
  </w:tbl>
  <w:p w14:paraId="460CBC45" w14:textId="77777777" w:rsidR="00097958" w:rsidRPr="00C22780" w:rsidRDefault="00097958" w:rsidP="000B697C">
    <w:pPr>
      <w:pStyle w:val="Header"/>
      <w:tabs>
        <w:tab w:val="clear" w:pos="4320"/>
        <w:tab w:val="clear" w:pos="8640"/>
      </w:tabs>
      <w:rPr>
        <w:rFonts w:ascii="Tahoma" w:hAnsi="Tahoma" w:cs="Tahoma"/>
        <w:i/>
        <w:sz w:val="26"/>
        <w:szCs w:val="1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BDE4" w14:textId="6168EB10" w:rsidR="00097958" w:rsidRPr="00E80797" w:rsidRDefault="00EB5D17" w:rsidP="006836C5">
    <w:pPr>
      <w:pStyle w:val="Header"/>
      <w:framePr w:wrap="around" w:vAnchor="text" w:hAnchor="page" w:x="10276" w:y="52"/>
      <w:jc w:val="right"/>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7F4536">
      <w:rPr>
        <w:rStyle w:val="PageNumber"/>
        <w:rFonts w:ascii="Tahoma" w:hAnsi="Tahoma" w:cs="Tahoma"/>
        <w:noProof/>
      </w:rPr>
      <w:t>49</w:t>
    </w:r>
    <w:r w:rsidRPr="00E80797">
      <w:rPr>
        <w:rStyle w:val="PageNumber"/>
        <w:rFonts w:ascii="Tahoma" w:hAnsi="Tahoma" w:cs="Tahoma"/>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BB4A42" w14:paraId="32BA0014" w14:textId="77777777" w:rsidTr="003E25FA">
      <w:tc>
        <w:tcPr>
          <w:tcW w:w="8897" w:type="dxa"/>
        </w:tcPr>
        <w:p w14:paraId="78F38ECB" w14:textId="01F2B30E" w:rsidR="00BB4A42" w:rsidRPr="003F325D" w:rsidRDefault="003F325D" w:rsidP="00BB4A42">
          <w:pPr>
            <w:tabs>
              <w:tab w:val="left" w:pos="3969"/>
            </w:tabs>
            <w:spacing w:after="120"/>
            <w:rPr>
              <w:rFonts w:ascii="Tahoma" w:hAnsi="Tahoma" w:cs="Tahoma"/>
              <w:b/>
              <w:bCs/>
              <w:i/>
              <w:iCs/>
            </w:rPr>
          </w:pPr>
          <w:r w:rsidRPr="003F325D">
            <w:rPr>
              <w:rFonts w:ascii="Tahoma" w:hAnsi="Tahoma" w:cs="Tahoma"/>
              <w:i/>
              <w:iCs/>
            </w:rPr>
            <w:t>Journal Social Engagement (Jurnal Pengabdian Kepada Masyarakat)</w:t>
          </w:r>
        </w:p>
      </w:tc>
    </w:tr>
  </w:tbl>
  <w:p w14:paraId="24A1BC56" w14:textId="77777777" w:rsidR="00B72F97" w:rsidRPr="00C22780" w:rsidRDefault="00B72F97" w:rsidP="00B72F97">
    <w:pPr>
      <w:tabs>
        <w:tab w:val="left" w:pos="3969"/>
      </w:tabs>
      <w:rPr>
        <w:rFonts w:ascii="Calisto MT" w:hAnsi="Calisto MT"/>
        <w:b/>
        <w:bCs/>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1447" w14:textId="28D2437E" w:rsidR="00097958" w:rsidRPr="00C22780" w:rsidRDefault="00E83A70" w:rsidP="00A031F0">
    <w:pPr>
      <w:pStyle w:val="Header"/>
      <w:tabs>
        <w:tab w:val="clear" w:pos="4320"/>
        <w:tab w:val="clear" w:pos="8640"/>
        <w:tab w:val="left" w:pos="6663"/>
      </w:tabs>
      <w:ind w:right="-1"/>
      <w:rPr>
        <w:rStyle w:val="PageNumber"/>
        <w:rFonts w:ascii="Tahoma" w:hAnsi="Tahoma" w:cs="Tahoma"/>
        <w:sz w:val="22"/>
      </w:rPr>
    </w:pPr>
    <w:r>
      <w:rPr>
        <w:rFonts w:ascii="Tahoma" w:hAnsi="Tahoma" w:cs="Tahoma"/>
        <w:noProof/>
        <w:sz w:val="22"/>
      </w:rPr>
      <w:drawing>
        <wp:anchor distT="0" distB="0" distL="114300" distR="114300" simplePos="0" relativeHeight="251658240" behindDoc="0" locked="0" layoutInCell="1" allowOverlap="1" wp14:anchorId="2574044E" wp14:editId="0B2AE6F0">
          <wp:simplePos x="0" y="0"/>
          <wp:positionH relativeFrom="column">
            <wp:posOffset>-451485</wp:posOffset>
          </wp:positionH>
          <wp:positionV relativeFrom="paragraph">
            <wp:posOffset>-443865</wp:posOffset>
          </wp:positionV>
          <wp:extent cx="6307494"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PKM.png"/>
                  <pic:cNvPicPr/>
                </pic:nvPicPr>
                <pic:blipFill>
                  <a:blip r:embed="rId1">
                    <a:extLst>
                      <a:ext uri="{28A0092B-C50C-407E-A947-70E740481C1C}">
                        <a14:useLocalDpi xmlns:a14="http://schemas.microsoft.com/office/drawing/2010/main" val="0"/>
                      </a:ext>
                    </a:extLst>
                  </a:blip>
                  <a:stretch>
                    <a:fillRect/>
                  </a:stretch>
                </pic:blipFill>
                <pic:spPr>
                  <a:xfrm>
                    <a:off x="0" y="0"/>
                    <a:ext cx="6307494"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43E"/>
    <w:multiLevelType w:val="hybridMultilevel"/>
    <w:tmpl w:val="A2341382"/>
    <w:lvl w:ilvl="0" w:tplc="643E131E">
      <w:start w:val="1"/>
      <w:numFmt w:val="bullet"/>
      <w:lvlText w:val="-"/>
      <w:lvlJc w:val="left"/>
      <w:pPr>
        <w:ind w:left="644" w:hanging="360"/>
      </w:pPr>
      <w:rPr>
        <w:rFonts w:ascii="Tahoma" w:eastAsia="Times New Roman" w:hAnsi="Tahoma" w:cs="Tahoma"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
    <w:nsid w:val="029E103C"/>
    <w:multiLevelType w:val="hybridMultilevel"/>
    <w:tmpl w:val="B79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947CA"/>
    <w:multiLevelType w:val="multilevel"/>
    <w:tmpl w:val="C67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435DC3"/>
    <w:multiLevelType w:val="multilevel"/>
    <w:tmpl w:val="A6A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5959A4"/>
    <w:multiLevelType w:val="multilevel"/>
    <w:tmpl w:val="420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A7CC6"/>
    <w:multiLevelType w:val="multilevel"/>
    <w:tmpl w:val="0E3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9252F"/>
    <w:multiLevelType w:val="hybridMultilevel"/>
    <w:tmpl w:val="2BC45C14"/>
    <w:lvl w:ilvl="0" w:tplc="76C61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7E82FAE"/>
    <w:multiLevelType w:val="multilevel"/>
    <w:tmpl w:val="E83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B33259"/>
    <w:multiLevelType w:val="multilevel"/>
    <w:tmpl w:val="6566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73932A89"/>
    <w:multiLevelType w:val="hybridMultilevel"/>
    <w:tmpl w:val="8050F5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3FD7521"/>
    <w:multiLevelType w:val="multilevel"/>
    <w:tmpl w:val="92A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5"/>
  </w:num>
  <w:num w:numId="4">
    <w:abstractNumId w:val="15"/>
  </w:num>
  <w:num w:numId="5">
    <w:abstractNumId w:val="19"/>
  </w:num>
  <w:num w:numId="6">
    <w:abstractNumId w:val="22"/>
  </w:num>
  <w:num w:numId="7">
    <w:abstractNumId w:val="20"/>
  </w:num>
  <w:num w:numId="8">
    <w:abstractNumId w:val="18"/>
  </w:num>
  <w:num w:numId="9">
    <w:abstractNumId w:val="14"/>
  </w:num>
  <w:num w:numId="10">
    <w:abstractNumId w:val="5"/>
  </w:num>
  <w:num w:numId="11">
    <w:abstractNumId w:val="4"/>
  </w:num>
  <w:num w:numId="12">
    <w:abstractNumId w:val="11"/>
  </w:num>
  <w:num w:numId="13">
    <w:abstractNumId w:val="7"/>
  </w:num>
  <w:num w:numId="14">
    <w:abstractNumId w:val="12"/>
  </w:num>
  <w:num w:numId="15">
    <w:abstractNumId w:val="24"/>
  </w:num>
  <w:num w:numId="16">
    <w:abstractNumId w:val="13"/>
  </w:num>
  <w:num w:numId="17">
    <w:abstractNumId w:val="23"/>
  </w:num>
  <w:num w:numId="18">
    <w:abstractNumId w:val="1"/>
  </w:num>
  <w:num w:numId="19">
    <w:abstractNumId w:val="9"/>
  </w:num>
  <w:num w:numId="20">
    <w:abstractNumId w:val="26"/>
  </w:num>
  <w:num w:numId="21">
    <w:abstractNumId w:val="0"/>
  </w:num>
  <w:num w:numId="22">
    <w:abstractNumId w:val="2"/>
  </w:num>
  <w:num w:numId="23">
    <w:abstractNumId w:val="3"/>
  </w:num>
  <w:num w:numId="24">
    <w:abstractNumId w:val="10"/>
  </w:num>
  <w:num w:numId="25">
    <w:abstractNumId w:val="16"/>
  </w:num>
  <w:num w:numId="26">
    <w:abstractNumId w:val="6"/>
  </w:num>
  <w:num w:numId="27">
    <w:abstractNumId w:val="8"/>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527"/>
    <w:rsid w:val="00007744"/>
    <w:rsid w:val="000106D0"/>
    <w:rsid w:val="00012CEF"/>
    <w:rsid w:val="00014633"/>
    <w:rsid w:val="00015F2A"/>
    <w:rsid w:val="00017858"/>
    <w:rsid w:val="00022523"/>
    <w:rsid w:val="00022AE4"/>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53C6"/>
    <w:rsid w:val="00066063"/>
    <w:rsid w:val="0007154C"/>
    <w:rsid w:val="0007236F"/>
    <w:rsid w:val="00073635"/>
    <w:rsid w:val="00076C16"/>
    <w:rsid w:val="000776D4"/>
    <w:rsid w:val="00080CCD"/>
    <w:rsid w:val="000830A2"/>
    <w:rsid w:val="00083586"/>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4E2F"/>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29"/>
    <w:rsid w:val="001C0FE6"/>
    <w:rsid w:val="001C19EB"/>
    <w:rsid w:val="001C1DDC"/>
    <w:rsid w:val="001C7AC5"/>
    <w:rsid w:val="001D04CA"/>
    <w:rsid w:val="001D19C3"/>
    <w:rsid w:val="001D218B"/>
    <w:rsid w:val="001D2557"/>
    <w:rsid w:val="001D409D"/>
    <w:rsid w:val="001E110B"/>
    <w:rsid w:val="001E1922"/>
    <w:rsid w:val="001E2071"/>
    <w:rsid w:val="001E416C"/>
    <w:rsid w:val="001E5CFB"/>
    <w:rsid w:val="001E608B"/>
    <w:rsid w:val="001E69C1"/>
    <w:rsid w:val="001E796E"/>
    <w:rsid w:val="001E7DCD"/>
    <w:rsid w:val="001E7FFA"/>
    <w:rsid w:val="001F0AFC"/>
    <w:rsid w:val="001F470F"/>
    <w:rsid w:val="001F4ACD"/>
    <w:rsid w:val="001F6170"/>
    <w:rsid w:val="001F63D7"/>
    <w:rsid w:val="001F6ACF"/>
    <w:rsid w:val="001F6FB1"/>
    <w:rsid w:val="0020079F"/>
    <w:rsid w:val="00204431"/>
    <w:rsid w:val="0020464A"/>
    <w:rsid w:val="00204A25"/>
    <w:rsid w:val="0020608E"/>
    <w:rsid w:val="002073B6"/>
    <w:rsid w:val="002076CA"/>
    <w:rsid w:val="002079DD"/>
    <w:rsid w:val="00207F56"/>
    <w:rsid w:val="002108C5"/>
    <w:rsid w:val="0021211C"/>
    <w:rsid w:val="00212DCC"/>
    <w:rsid w:val="002141C1"/>
    <w:rsid w:val="00215A82"/>
    <w:rsid w:val="00216F2A"/>
    <w:rsid w:val="00220914"/>
    <w:rsid w:val="00221D61"/>
    <w:rsid w:val="00221FB3"/>
    <w:rsid w:val="00223670"/>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1E24"/>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A56"/>
    <w:rsid w:val="002D797A"/>
    <w:rsid w:val="002E0BC4"/>
    <w:rsid w:val="002E184C"/>
    <w:rsid w:val="002E2CAE"/>
    <w:rsid w:val="002E3685"/>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1B7A"/>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6832"/>
    <w:rsid w:val="00367849"/>
    <w:rsid w:val="003715EC"/>
    <w:rsid w:val="00373753"/>
    <w:rsid w:val="00376867"/>
    <w:rsid w:val="00376A96"/>
    <w:rsid w:val="003772AC"/>
    <w:rsid w:val="00381E56"/>
    <w:rsid w:val="003826FF"/>
    <w:rsid w:val="00385E4F"/>
    <w:rsid w:val="00387F1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1CA5"/>
    <w:rsid w:val="003E201A"/>
    <w:rsid w:val="003E304D"/>
    <w:rsid w:val="003E3D41"/>
    <w:rsid w:val="003E4AA5"/>
    <w:rsid w:val="003E6508"/>
    <w:rsid w:val="003F0964"/>
    <w:rsid w:val="003F18A1"/>
    <w:rsid w:val="003F1D93"/>
    <w:rsid w:val="003F2EB6"/>
    <w:rsid w:val="003F325D"/>
    <w:rsid w:val="003F4897"/>
    <w:rsid w:val="003F6587"/>
    <w:rsid w:val="003F79B6"/>
    <w:rsid w:val="00402C7D"/>
    <w:rsid w:val="00403A74"/>
    <w:rsid w:val="00407351"/>
    <w:rsid w:val="00407C2D"/>
    <w:rsid w:val="004106DF"/>
    <w:rsid w:val="00411A71"/>
    <w:rsid w:val="00411C0C"/>
    <w:rsid w:val="0041399A"/>
    <w:rsid w:val="00414535"/>
    <w:rsid w:val="00414EA0"/>
    <w:rsid w:val="0041645C"/>
    <w:rsid w:val="00420D64"/>
    <w:rsid w:val="00424E85"/>
    <w:rsid w:val="00425BE9"/>
    <w:rsid w:val="00427072"/>
    <w:rsid w:val="0043585C"/>
    <w:rsid w:val="00440624"/>
    <w:rsid w:val="00441F35"/>
    <w:rsid w:val="00443205"/>
    <w:rsid w:val="004439D2"/>
    <w:rsid w:val="004503E9"/>
    <w:rsid w:val="00453463"/>
    <w:rsid w:val="004550E4"/>
    <w:rsid w:val="00455341"/>
    <w:rsid w:val="004637E8"/>
    <w:rsid w:val="00467368"/>
    <w:rsid w:val="004674CD"/>
    <w:rsid w:val="004710EE"/>
    <w:rsid w:val="00472839"/>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482B"/>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073"/>
    <w:rsid w:val="004D7295"/>
    <w:rsid w:val="004E140A"/>
    <w:rsid w:val="004E154B"/>
    <w:rsid w:val="004E1914"/>
    <w:rsid w:val="004E1E4A"/>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2DE0"/>
    <w:rsid w:val="0051361F"/>
    <w:rsid w:val="00515455"/>
    <w:rsid w:val="00515EC9"/>
    <w:rsid w:val="00516317"/>
    <w:rsid w:val="005174FF"/>
    <w:rsid w:val="00520EC3"/>
    <w:rsid w:val="0052138C"/>
    <w:rsid w:val="005213A1"/>
    <w:rsid w:val="00523362"/>
    <w:rsid w:val="00523B26"/>
    <w:rsid w:val="0052442F"/>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5A31"/>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0099"/>
    <w:rsid w:val="006044C7"/>
    <w:rsid w:val="006123B6"/>
    <w:rsid w:val="00613977"/>
    <w:rsid w:val="0061627D"/>
    <w:rsid w:val="006206C7"/>
    <w:rsid w:val="00622EC4"/>
    <w:rsid w:val="00622F2B"/>
    <w:rsid w:val="0062488B"/>
    <w:rsid w:val="006251BB"/>
    <w:rsid w:val="006327F1"/>
    <w:rsid w:val="00636167"/>
    <w:rsid w:val="00644417"/>
    <w:rsid w:val="00647075"/>
    <w:rsid w:val="00652EBE"/>
    <w:rsid w:val="006549EF"/>
    <w:rsid w:val="00655C14"/>
    <w:rsid w:val="00656420"/>
    <w:rsid w:val="00662070"/>
    <w:rsid w:val="0066237A"/>
    <w:rsid w:val="006628A9"/>
    <w:rsid w:val="00664BE8"/>
    <w:rsid w:val="00665A9F"/>
    <w:rsid w:val="00665B37"/>
    <w:rsid w:val="006719D8"/>
    <w:rsid w:val="0067364F"/>
    <w:rsid w:val="00675D81"/>
    <w:rsid w:val="00676455"/>
    <w:rsid w:val="00676EB9"/>
    <w:rsid w:val="00680AE8"/>
    <w:rsid w:val="00682B00"/>
    <w:rsid w:val="006836C5"/>
    <w:rsid w:val="00685AA5"/>
    <w:rsid w:val="00685FB4"/>
    <w:rsid w:val="006863DA"/>
    <w:rsid w:val="00687448"/>
    <w:rsid w:val="00687CA7"/>
    <w:rsid w:val="00687D3A"/>
    <w:rsid w:val="006925E2"/>
    <w:rsid w:val="006A0231"/>
    <w:rsid w:val="006A090C"/>
    <w:rsid w:val="006A1384"/>
    <w:rsid w:val="006A34DA"/>
    <w:rsid w:val="006A6AEE"/>
    <w:rsid w:val="006B027E"/>
    <w:rsid w:val="006B0965"/>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00D7"/>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4329"/>
    <w:rsid w:val="0075442C"/>
    <w:rsid w:val="007547A1"/>
    <w:rsid w:val="00756884"/>
    <w:rsid w:val="00756A93"/>
    <w:rsid w:val="0075769A"/>
    <w:rsid w:val="00757712"/>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4536"/>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4DDE"/>
    <w:rsid w:val="008361F3"/>
    <w:rsid w:val="00836D01"/>
    <w:rsid w:val="008379F3"/>
    <w:rsid w:val="00837EA3"/>
    <w:rsid w:val="008418A6"/>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308D"/>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D25"/>
    <w:rsid w:val="0094256E"/>
    <w:rsid w:val="0094367D"/>
    <w:rsid w:val="00943FA1"/>
    <w:rsid w:val="00944206"/>
    <w:rsid w:val="00945A5C"/>
    <w:rsid w:val="00946389"/>
    <w:rsid w:val="0094738D"/>
    <w:rsid w:val="00950133"/>
    <w:rsid w:val="00950EF7"/>
    <w:rsid w:val="00954DC1"/>
    <w:rsid w:val="00955462"/>
    <w:rsid w:val="00956EB6"/>
    <w:rsid w:val="00957C11"/>
    <w:rsid w:val="00960542"/>
    <w:rsid w:val="009617A9"/>
    <w:rsid w:val="00964786"/>
    <w:rsid w:val="009665BE"/>
    <w:rsid w:val="00967021"/>
    <w:rsid w:val="009673AB"/>
    <w:rsid w:val="00967B7B"/>
    <w:rsid w:val="00970E84"/>
    <w:rsid w:val="00971153"/>
    <w:rsid w:val="00981036"/>
    <w:rsid w:val="00981E5F"/>
    <w:rsid w:val="00983846"/>
    <w:rsid w:val="00990CC8"/>
    <w:rsid w:val="0099227E"/>
    <w:rsid w:val="009949C5"/>
    <w:rsid w:val="009A19B2"/>
    <w:rsid w:val="009B3EC0"/>
    <w:rsid w:val="009B5025"/>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57BB"/>
    <w:rsid w:val="00A01765"/>
    <w:rsid w:val="00A01BED"/>
    <w:rsid w:val="00A02DD3"/>
    <w:rsid w:val="00A031F0"/>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2DC2"/>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4E40"/>
    <w:rsid w:val="00AD564C"/>
    <w:rsid w:val="00AD7639"/>
    <w:rsid w:val="00AE3182"/>
    <w:rsid w:val="00AE43A3"/>
    <w:rsid w:val="00AE54BB"/>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0A96"/>
    <w:rsid w:val="00B61620"/>
    <w:rsid w:val="00B64061"/>
    <w:rsid w:val="00B65BB6"/>
    <w:rsid w:val="00B7048C"/>
    <w:rsid w:val="00B71D8A"/>
    <w:rsid w:val="00B72F97"/>
    <w:rsid w:val="00B73F7D"/>
    <w:rsid w:val="00B743B9"/>
    <w:rsid w:val="00B768D7"/>
    <w:rsid w:val="00B778A3"/>
    <w:rsid w:val="00B809F3"/>
    <w:rsid w:val="00B85932"/>
    <w:rsid w:val="00B873EB"/>
    <w:rsid w:val="00B87588"/>
    <w:rsid w:val="00B92474"/>
    <w:rsid w:val="00BA2419"/>
    <w:rsid w:val="00BB0F2F"/>
    <w:rsid w:val="00BB1C66"/>
    <w:rsid w:val="00BB3596"/>
    <w:rsid w:val="00BB4A42"/>
    <w:rsid w:val="00BB524D"/>
    <w:rsid w:val="00BB5385"/>
    <w:rsid w:val="00BB5653"/>
    <w:rsid w:val="00BB6E3C"/>
    <w:rsid w:val="00BC06CF"/>
    <w:rsid w:val="00BC133D"/>
    <w:rsid w:val="00BC3E9C"/>
    <w:rsid w:val="00BC4AF5"/>
    <w:rsid w:val="00BC5AA5"/>
    <w:rsid w:val="00BC625D"/>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780"/>
    <w:rsid w:val="00C22F0A"/>
    <w:rsid w:val="00C2325B"/>
    <w:rsid w:val="00C25B1C"/>
    <w:rsid w:val="00C26299"/>
    <w:rsid w:val="00C311E4"/>
    <w:rsid w:val="00C322BB"/>
    <w:rsid w:val="00C33540"/>
    <w:rsid w:val="00C3417C"/>
    <w:rsid w:val="00C350F2"/>
    <w:rsid w:val="00C35B73"/>
    <w:rsid w:val="00C35B8F"/>
    <w:rsid w:val="00C35FBE"/>
    <w:rsid w:val="00C40E59"/>
    <w:rsid w:val="00C418BF"/>
    <w:rsid w:val="00C4258F"/>
    <w:rsid w:val="00C44562"/>
    <w:rsid w:val="00C453FB"/>
    <w:rsid w:val="00C50166"/>
    <w:rsid w:val="00C502FF"/>
    <w:rsid w:val="00C5583E"/>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3381"/>
    <w:rsid w:val="00CD4B1C"/>
    <w:rsid w:val="00CE1CF3"/>
    <w:rsid w:val="00CE70F3"/>
    <w:rsid w:val="00CE7659"/>
    <w:rsid w:val="00CF0E18"/>
    <w:rsid w:val="00CF29A4"/>
    <w:rsid w:val="00CF2F2E"/>
    <w:rsid w:val="00CF624D"/>
    <w:rsid w:val="00CF6E34"/>
    <w:rsid w:val="00D01100"/>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75AD5"/>
    <w:rsid w:val="00D8270B"/>
    <w:rsid w:val="00D9045B"/>
    <w:rsid w:val="00D90EA9"/>
    <w:rsid w:val="00D91AD4"/>
    <w:rsid w:val="00D941C3"/>
    <w:rsid w:val="00D94A99"/>
    <w:rsid w:val="00D95324"/>
    <w:rsid w:val="00D95482"/>
    <w:rsid w:val="00DA0390"/>
    <w:rsid w:val="00DA1940"/>
    <w:rsid w:val="00DA3C3C"/>
    <w:rsid w:val="00DA5ADD"/>
    <w:rsid w:val="00DA6640"/>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530"/>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340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797"/>
    <w:rsid w:val="00E81714"/>
    <w:rsid w:val="00E83A70"/>
    <w:rsid w:val="00E8480A"/>
    <w:rsid w:val="00E861C6"/>
    <w:rsid w:val="00E91546"/>
    <w:rsid w:val="00E91678"/>
    <w:rsid w:val="00E91857"/>
    <w:rsid w:val="00E9206E"/>
    <w:rsid w:val="00E927A2"/>
    <w:rsid w:val="00E93438"/>
    <w:rsid w:val="00E93F64"/>
    <w:rsid w:val="00E96092"/>
    <w:rsid w:val="00E96737"/>
    <w:rsid w:val="00EA0668"/>
    <w:rsid w:val="00EA087B"/>
    <w:rsid w:val="00EA127F"/>
    <w:rsid w:val="00EA1F53"/>
    <w:rsid w:val="00EA4376"/>
    <w:rsid w:val="00EA70DC"/>
    <w:rsid w:val="00EB01FF"/>
    <w:rsid w:val="00EB06C6"/>
    <w:rsid w:val="00EB1B47"/>
    <w:rsid w:val="00EB46E1"/>
    <w:rsid w:val="00EB5D17"/>
    <w:rsid w:val="00EB7BD6"/>
    <w:rsid w:val="00EC182B"/>
    <w:rsid w:val="00EC20FD"/>
    <w:rsid w:val="00EC2EF8"/>
    <w:rsid w:val="00EC3DAC"/>
    <w:rsid w:val="00EC42FF"/>
    <w:rsid w:val="00EC5A73"/>
    <w:rsid w:val="00ED103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3665"/>
    <w:rsid w:val="00F25164"/>
    <w:rsid w:val="00F277D3"/>
    <w:rsid w:val="00F30997"/>
    <w:rsid w:val="00F32896"/>
    <w:rsid w:val="00F33C08"/>
    <w:rsid w:val="00F41AE7"/>
    <w:rsid w:val="00F41F44"/>
    <w:rsid w:val="00F4287E"/>
    <w:rsid w:val="00F42D17"/>
    <w:rsid w:val="00F457A0"/>
    <w:rsid w:val="00F46492"/>
    <w:rsid w:val="00F477B5"/>
    <w:rsid w:val="00F47B01"/>
    <w:rsid w:val="00F5057E"/>
    <w:rsid w:val="00F53410"/>
    <w:rsid w:val="00F541F8"/>
    <w:rsid w:val="00F5470A"/>
    <w:rsid w:val="00F547F8"/>
    <w:rsid w:val="00F551E6"/>
    <w:rsid w:val="00F5563D"/>
    <w:rsid w:val="00F5611D"/>
    <w:rsid w:val="00F56891"/>
    <w:rsid w:val="00F62298"/>
    <w:rsid w:val="00F64CD4"/>
    <w:rsid w:val="00F65AB2"/>
    <w:rsid w:val="00F723B8"/>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3F8F"/>
    <w:rsid w:val="00F94B8E"/>
    <w:rsid w:val="00F9541D"/>
    <w:rsid w:val="00FA0403"/>
    <w:rsid w:val="00FA597D"/>
    <w:rsid w:val="00FA5B9A"/>
    <w:rsid w:val="00FA7796"/>
    <w:rsid w:val="00FB01B9"/>
    <w:rsid w:val="00FB763A"/>
    <w:rsid w:val="00FB79C0"/>
    <w:rsid w:val="00FB7BB3"/>
    <w:rsid w:val="00FC2EB8"/>
    <w:rsid w:val="00FC5C43"/>
    <w:rsid w:val="00FD1598"/>
    <w:rsid w:val="00FD576E"/>
    <w:rsid w:val="00FD596B"/>
    <w:rsid w:val="00FD6C88"/>
    <w:rsid w:val="00FE00EE"/>
    <w:rsid w:val="00FE58CC"/>
    <w:rsid w:val="00FE75A9"/>
    <w:rsid w:val="00FF058D"/>
    <w:rsid w:val="00FF1D8E"/>
    <w:rsid w:val="00FF2440"/>
    <w:rsid w:val="00FF29D5"/>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4A22F"/>
  <w15:docId w15:val="{E9E4C045-3D71-45F4-BEEC-3D585816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 w:type="character" w:customStyle="1" w:styleId="UnresolvedMention">
    <w:name w:val="Unresolved Mention"/>
    <w:basedOn w:val="DefaultParagraphFont"/>
    <w:uiPriority w:val="99"/>
    <w:semiHidden/>
    <w:unhideWhenUsed/>
    <w:rsid w:val="00E0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6368">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44539530">
      <w:bodyDiv w:val="1"/>
      <w:marLeft w:val="0"/>
      <w:marRight w:val="0"/>
      <w:marTop w:val="0"/>
      <w:marBottom w:val="0"/>
      <w:divBdr>
        <w:top w:val="none" w:sz="0" w:space="0" w:color="auto"/>
        <w:left w:val="none" w:sz="0" w:space="0" w:color="auto"/>
        <w:bottom w:val="none" w:sz="0" w:space="0" w:color="auto"/>
        <w:right w:val="none" w:sz="0" w:space="0" w:color="auto"/>
      </w:divBdr>
    </w:div>
    <w:div w:id="488401556">
      <w:bodyDiv w:val="1"/>
      <w:marLeft w:val="0"/>
      <w:marRight w:val="0"/>
      <w:marTop w:val="0"/>
      <w:marBottom w:val="0"/>
      <w:divBdr>
        <w:top w:val="none" w:sz="0" w:space="0" w:color="auto"/>
        <w:left w:val="none" w:sz="0" w:space="0" w:color="auto"/>
        <w:bottom w:val="none" w:sz="0" w:space="0" w:color="auto"/>
        <w:right w:val="none" w:sz="0" w:space="0" w:color="auto"/>
      </w:divBdr>
    </w:div>
    <w:div w:id="51006749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3391124">
      <w:bodyDiv w:val="1"/>
      <w:marLeft w:val="0"/>
      <w:marRight w:val="0"/>
      <w:marTop w:val="0"/>
      <w:marBottom w:val="0"/>
      <w:divBdr>
        <w:top w:val="none" w:sz="0" w:space="0" w:color="auto"/>
        <w:left w:val="none" w:sz="0" w:space="0" w:color="auto"/>
        <w:bottom w:val="none" w:sz="0" w:space="0" w:color="auto"/>
        <w:right w:val="none" w:sz="0" w:space="0" w:color="auto"/>
      </w:divBdr>
    </w:div>
    <w:div w:id="69018809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664891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90445837">
      <w:bodyDiv w:val="1"/>
      <w:marLeft w:val="0"/>
      <w:marRight w:val="0"/>
      <w:marTop w:val="0"/>
      <w:marBottom w:val="0"/>
      <w:divBdr>
        <w:top w:val="none" w:sz="0" w:space="0" w:color="auto"/>
        <w:left w:val="none" w:sz="0" w:space="0" w:color="auto"/>
        <w:bottom w:val="none" w:sz="0" w:space="0" w:color="auto"/>
        <w:right w:val="none" w:sz="0" w:space="0" w:color="auto"/>
      </w:divBdr>
    </w:div>
    <w:div w:id="1018697915">
      <w:bodyDiv w:val="1"/>
      <w:marLeft w:val="0"/>
      <w:marRight w:val="0"/>
      <w:marTop w:val="0"/>
      <w:marBottom w:val="0"/>
      <w:divBdr>
        <w:top w:val="none" w:sz="0" w:space="0" w:color="auto"/>
        <w:left w:val="none" w:sz="0" w:space="0" w:color="auto"/>
        <w:bottom w:val="none" w:sz="0" w:space="0" w:color="auto"/>
        <w:right w:val="none" w:sz="0" w:space="0" w:color="auto"/>
      </w:divBdr>
    </w:div>
    <w:div w:id="1063210873">
      <w:bodyDiv w:val="1"/>
      <w:marLeft w:val="0"/>
      <w:marRight w:val="0"/>
      <w:marTop w:val="0"/>
      <w:marBottom w:val="0"/>
      <w:divBdr>
        <w:top w:val="none" w:sz="0" w:space="0" w:color="auto"/>
        <w:left w:val="none" w:sz="0" w:space="0" w:color="auto"/>
        <w:bottom w:val="none" w:sz="0" w:space="0" w:color="auto"/>
        <w:right w:val="none" w:sz="0" w:space="0" w:color="auto"/>
      </w:divBdr>
    </w:div>
    <w:div w:id="1139155021">
      <w:bodyDiv w:val="1"/>
      <w:marLeft w:val="0"/>
      <w:marRight w:val="0"/>
      <w:marTop w:val="0"/>
      <w:marBottom w:val="0"/>
      <w:divBdr>
        <w:top w:val="none" w:sz="0" w:space="0" w:color="auto"/>
        <w:left w:val="none" w:sz="0" w:space="0" w:color="auto"/>
        <w:bottom w:val="none" w:sz="0" w:space="0" w:color="auto"/>
        <w:right w:val="none" w:sz="0" w:space="0" w:color="auto"/>
      </w:divBdr>
    </w:div>
    <w:div w:id="114696701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32385003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99129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954455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9140303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812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lah.dty@uim-makassar.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D99F-2B2F-4B3E-9AF2-05EF1760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8</cp:revision>
  <cp:lastPrinted>2004-12-30T03:27:00Z</cp:lastPrinted>
  <dcterms:created xsi:type="dcterms:W3CDTF">2025-05-28T09:21:00Z</dcterms:created>
  <dcterms:modified xsi:type="dcterms:W3CDTF">2025-06-02T04:44:00Z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6b98946bc825f0e5a4ceca3e0df354c505639fd7a1b5991530c4141d78b083d6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http://csl.mendeley.com/styles/543748241/apa-2</vt:lpwstr>
  </property>
  <property fmtid="{D5CDD505-2E9C-101B-9397-08002B2CF9AE}" pid="10" name="Mendeley Recent Style Name 3_1">
    <vt:lpwstr>American Psychological Association 7th edition - muhammad ridwan manulusi</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6th/7th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841f8661-8c6f-38f6-889a-8db479779e83</vt:lpwstr>
  </property>
  <property fmtid="{D5CDD505-2E9C-101B-9397-08002B2CF9AE}" pid="25" name="Mendeley Citation Style_1">
    <vt:lpwstr>http://csl.mendeley.com/styles/543748241/apa-2</vt:lpwstr>
  </property>
</Properties>
</file>